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1CF" w:rsidRPr="0049245A" w:rsidRDefault="006C21CF" w:rsidP="006C21CF">
      <w:pPr>
        <w:jc w:val="center"/>
        <w:rPr>
          <w:b/>
          <w:sz w:val="28"/>
          <w:szCs w:val="28"/>
        </w:rPr>
      </w:pPr>
      <w:bookmarkStart w:id="0" w:name="_GoBack"/>
      <w:bookmarkEnd w:id="0"/>
      <w:r w:rsidRPr="0049245A">
        <w:rPr>
          <w:b/>
          <w:sz w:val="28"/>
          <w:szCs w:val="28"/>
        </w:rPr>
        <w:t>Electrically Safe Work Condition Checklist</w:t>
      </w:r>
    </w:p>
    <w:p w:rsidR="006C21CF" w:rsidRPr="006C21CF" w:rsidRDefault="006C21CF" w:rsidP="006C21CF">
      <w:pPr>
        <w:rPr>
          <w:sz w:val="26"/>
          <w:szCs w:val="26"/>
        </w:rPr>
      </w:pPr>
      <w:r w:rsidRPr="006C21CF">
        <w:rPr>
          <w:sz w:val="26"/>
          <w:szCs w:val="26"/>
        </w:rPr>
        <w:t>An authorized person will establish an electrically safe work condition by deenergizing energized circuits, parts, or equipment before starting service or maintenance work, unless it is demonstrated that deenergizing introduces additional or increased hazards or is infeasible due to equipment design or operational limitations.</w:t>
      </w:r>
    </w:p>
    <w:p w:rsidR="006C21CF" w:rsidRPr="006C21CF" w:rsidRDefault="006C21CF" w:rsidP="006C21CF">
      <w:pPr>
        <w:rPr>
          <w:sz w:val="26"/>
          <w:szCs w:val="26"/>
        </w:rPr>
      </w:pPr>
      <w:r w:rsidRPr="006C21CF">
        <w:rPr>
          <w:sz w:val="26"/>
          <w:szCs w:val="26"/>
        </w:rPr>
        <w:t>Following are the basic steps the authorized person must follow to establish the electrically safe work condition as derived from NFPA 70E (2018), in the order that they are shown:</w:t>
      </w:r>
    </w:p>
    <w:p w:rsidR="006C21CF" w:rsidRPr="006C21CF" w:rsidRDefault="006C21CF" w:rsidP="006C21CF">
      <w:pPr>
        <w:pStyle w:val="ListParagraph"/>
        <w:numPr>
          <w:ilvl w:val="0"/>
          <w:numId w:val="24"/>
        </w:numPr>
        <w:spacing w:line="259" w:lineRule="auto"/>
        <w:rPr>
          <w:sz w:val="26"/>
          <w:szCs w:val="26"/>
        </w:rPr>
      </w:pPr>
      <w:r w:rsidRPr="006C21CF">
        <w:rPr>
          <w:sz w:val="26"/>
          <w:szCs w:val="26"/>
        </w:rPr>
        <w:t>Determine all the possible sources of energy supply to the equipment—check updated drawings, diagrams, and identification tags.</w:t>
      </w:r>
    </w:p>
    <w:p w:rsidR="006C21CF" w:rsidRPr="006C21CF" w:rsidRDefault="006C21CF" w:rsidP="006C21CF">
      <w:pPr>
        <w:numPr>
          <w:ilvl w:val="0"/>
          <w:numId w:val="24"/>
        </w:numPr>
        <w:spacing w:line="259" w:lineRule="auto"/>
        <w:rPr>
          <w:sz w:val="26"/>
          <w:szCs w:val="26"/>
        </w:rPr>
      </w:pPr>
      <w:r w:rsidRPr="006C21CF">
        <w:rPr>
          <w:sz w:val="26"/>
          <w:szCs w:val="26"/>
        </w:rPr>
        <w:t>Interrupt the load current, then open disconnecting device(s) for each energy source.</w:t>
      </w:r>
    </w:p>
    <w:p w:rsidR="006C21CF" w:rsidRPr="006C21CF" w:rsidRDefault="006C21CF" w:rsidP="006C21CF">
      <w:pPr>
        <w:numPr>
          <w:ilvl w:val="0"/>
          <w:numId w:val="24"/>
        </w:numPr>
        <w:spacing w:line="259" w:lineRule="auto"/>
        <w:rPr>
          <w:sz w:val="26"/>
          <w:szCs w:val="26"/>
        </w:rPr>
      </w:pPr>
      <w:r w:rsidRPr="006C21CF">
        <w:rPr>
          <w:sz w:val="26"/>
          <w:szCs w:val="26"/>
        </w:rPr>
        <w:t>Verify all elements or contact points of the disconnecting device are fully open or that circuit breakers are in the fully disconnected position, if possible.</w:t>
      </w:r>
    </w:p>
    <w:p w:rsidR="006C21CF" w:rsidRPr="006C21CF" w:rsidRDefault="006C21CF" w:rsidP="006C21CF">
      <w:pPr>
        <w:numPr>
          <w:ilvl w:val="0"/>
          <w:numId w:val="24"/>
        </w:numPr>
        <w:spacing w:line="259" w:lineRule="auto"/>
        <w:rPr>
          <w:sz w:val="26"/>
          <w:szCs w:val="26"/>
        </w:rPr>
      </w:pPr>
      <w:r w:rsidRPr="006C21CF">
        <w:rPr>
          <w:sz w:val="26"/>
          <w:szCs w:val="26"/>
        </w:rPr>
        <w:t>Release any stored electrical energy in cables, batteries, and other electrical components.</w:t>
      </w:r>
    </w:p>
    <w:p w:rsidR="006C21CF" w:rsidRPr="006C21CF" w:rsidRDefault="006C21CF" w:rsidP="006C21CF">
      <w:pPr>
        <w:numPr>
          <w:ilvl w:val="0"/>
          <w:numId w:val="24"/>
        </w:numPr>
        <w:spacing w:line="259" w:lineRule="auto"/>
        <w:rPr>
          <w:sz w:val="26"/>
          <w:szCs w:val="26"/>
        </w:rPr>
      </w:pPr>
      <w:r w:rsidRPr="006C21CF">
        <w:rPr>
          <w:sz w:val="26"/>
          <w:szCs w:val="26"/>
        </w:rPr>
        <w:t>Release any mechanical energy—that is, kinetic or stored—in springs, spinning blades, flywheels, or other energy stored in objects by the application of a force.</w:t>
      </w:r>
    </w:p>
    <w:p w:rsidR="006C21CF" w:rsidRPr="006C21CF" w:rsidRDefault="006C21CF" w:rsidP="006C21CF">
      <w:pPr>
        <w:numPr>
          <w:ilvl w:val="0"/>
          <w:numId w:val="24"/>
        </w:numPr>
        <w:spacing w:line="259" w:lineRule="auto"/>
        <w:rPr>
          <w:sz w:val="26"/>
          <w:szCs w:val="26"/>
        </w:rPr>
      </w:pPr>
      <w:r w:rsidRPr="006C21CF">
        <w:rPr>
          <w:sz w:val="26"/>
          <w:szCs w:val="26"/>
        </w:rPr>
        <w:t>Apply lockout/tagout devices according to established procedures.</w:t>
      </w:r>
    </w:p>
    <w:p w:rsidR="006C21CF" w:rsidRPr="006C21CF" w:rsidRDefault="006C21CF" w:rsidP="006C21CF">
      <w:pPr>
        <w:numPr>
          <w:ilvl w:val="0"/>
          <w:numId w:val="24"/>
        </w:numPr>
        <w:spacing w:line="259" w:lineRule="auto"/>
        <w:rPr>
          <w:sz w:val="26"/>
          <w:szCs w:val="26"/>
        </w:rPr>
      </w:pPr>
      <w:r w:rsidRPr="006C21CF">
        <w:rPr>
          <w:sz w:val="26"/>
          <w:szCs w:val="26"/>
        </w:rPr>
        <w:t>Test the voltage to verify that the circuit parts are deenergized using only testing equipment that is in perfect working condition, has been verified to operate properly on a known voltage source, and that is rated for the equipment being tested.</w:t>
      </w:r>
    </w:p>
    <w:p w:rsidR="006C21CF" w:rsidRPr="006C21CF" w:rsidRDefault="006C21CF" w:rsidP="006C21CF">
      <w:pPr>
        <w:numPr>
          <w:ilvl w:val="0"/>
          <w:numId w:val="24"/>
        </w:numPr>
        <w:spacing w:line="259" w:lineRule="auto"/>
        <w:rPr>
          <w:sz w:val="26"/>
          <w:szCs w:val="26"/>
        </w:rPr>
      </w:pPr>
      <w:r w:rsidRPr="006C21CF">
        <w:rPr>
          <w:sz w:val="26"/>
          <w:szCs w:val="26"/>
        </w:rPr>
        <w:t>Apply appropriate grounding devices as necessary to dissipate energy and eliminate the possibility that stored electrical energy still exists.</w:t>
      </w:r>
    </w:p>
    <w:p w:rsidR="006C21CF" w:rsidRPr="006C21CF" w:rsidRDefault="006C21CF" w:rsidP="006C21CF">
      <w:pPr>
        <w:rPr>
          <w:sz w:val="26"/>
          <w:szCs w:val="26"/>
        </w:rPr>
      </w:pPr>
      <w:r w:rsidRPr="006C21CF">
        <w:rPr>
          <w:sz w:val="26"/>
          <w:szCs w:val="26"/>
        </w:rPr>
        <w:t>Once an electrically safe work condition is verified, there is no longer a shock or arc flash hazard from the circuits, parts, or equipment.</w:t>
      </w:r>
    </w:p>
    <w:p w:rsidR="009308CC" w:rsidRPr="00E8616E" w:rsidRDefault="009308CC" w:rsidP="006C21CF">
      <w:pPr>
        <w:pStyle w:val="BLRTableHeads"/>
      </w:pPr>
    </w:p>
    <w:sectPr w:rsidR="009308CC" w:rsidRPr="00E8616E" w:rsidSect="00E1021E">
      <w:headerReference w:type="default" r:id="rId7"/>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ED8" w:rsidRDefault="007F3ED8" w:rsidP="00E1021E">
      <w:pPr>
        <w:spacing w:after="0"/>
      </w:pPr>
      <w:r>
        <w:separator/>
      </w:r>
    </w:p>
  </w:endnote>
  <w:endnote w:type="continuationSeparator" w:id="0">
    <w:p w:rsidR="007F3ED8" w:rsidRDefault="007F3ED8" w:rsidP="00E102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201E4D" w:rsidTr="00201E4D">
      <w:tc>
        <w:tcPr>
          <w:tcW w:w="5035" w:type="dxa"/>
        </w:tcPr>
        <w:p w:rsidR="002E5C47" w:rsidRDefault="00AE42E8" w:rsidP="00AE42E8">
          <w:pPr>
            <w:pStyle w:val="Footer"/>
            <w:spacing w:after="40"/>
            <w:jc w:val="both"/>
          </w:pPr>
          <w:r>
            <w:t>© 201</w:t>
          </w:r>
          <w:r w:rsidR="0020198D">
            <w:t>8</w:t>
          </w:r>
          <w:r>
            <w:t xml:space="preserve"> BLR</w:t>
          </w:r>
          <w:r w:rsidRPr="00EA0E63">
            <w:rPr>
              <w:vertAlign w:val="superscript"/>
            </w:rPr>
            <w:t>®</w:t>
          </w:r>
          <w:r>
            <w:t>—</w:t>
          </w:r>
          <w:r w:rsidR="002E5C47">
            <w:t>Business &amp; Legal Resources</w:t>
          </w:r>
        </w:p>
        <w:p w:rsidR="00201E4D" w:rsidRDefault="00AE42E8" w:rsidP="00AE42E8">
          <w:pPr>
            <w:pStyle w:val="Footer"/>
            <w:spacing w:after="40"/>
            <w:jc w:val="both"/>
          </w:pPr>
          <w:r>
            <w:t>All rights reserved.</w:t>
          </w:r>
        </w:p>
      </w:tc>
      <w:tc>
        <w:tcPr>
          <w:tcW w:w="5035" w:type="dxa"/>
        </w:tcPr>
        <w:sdt>
          <w:sdtPr>
            <w:id w:val="1933858248"/>
            <w:docPartObj>
              <w:docPartGallery w:val="Page Numbers (Bottom of Page)"/>
              <w:docPartUnique/>
            </w:docPartObj>
          </w:sdtPr>
          <w:sdtEndPr>
            <w:rPr>
              <w:noProof/>
            </w:rPr>
          </w:sdtEndPr>
          <w:sdtContent>
            <w:p w:rsidR="00201E4D" w:rsidRDefault="007F3ED8" w:rsidP="00201E4D">
              <w:pPr>
                <w:pStyle w:val="Footer"/>
                <w:jc w:val="right"/>
                <w:rPr>
                  <w:noProof/>
                </w:rPr>
              </w:pPr>
            </w:p>
          </w:sdtContent>
        </w:sdt>
      </w:tc>
    </w:tr>
  </w:tbl>
  <w:p w:rsidR="00E1021E" w:rsidRDefault="00E1021E" w:rsidP="00201E4D">
    <w:pPr>
      <w:pStyle w:val="Footer"/>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ED8" w:rsidRDefault="007F3ED8" w:rsidP="00E1021E">
      <w:pPr>
        <w:spacing w:after="0"/>
      </w:pPr>
      <w:r>
        <w:separator/>
      </w:r>
    </w:p>
  </w:footnote>
  <w:footnote w:type="continuationSeparator" w:id="0">
    <w:p w:rsidR="007F3ED8" w:rsidRDefault="007F3ED8" w:rsidP="00E1021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21E" w:rsidRDefault="00E1021E" w:rsidP="0008255F">
    <w:pPr>
      <w:pStyle w:val="Header"/>
      <w:pBdr>
        <w:bottom w:val="single" w:sz="4" w:space="1" w:color="auto"/>
      </w:pBdr>
      <w:spacing w:after="1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898C6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96298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FA66F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8FC78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176C1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CC06D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1601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E8A4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10CD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E0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A2224"/>
    <w:multiLevelType w:val="hybridMultilevel"/>
    <w:tmpl w:val="CA64DF60"/>
    <w:lvl w:ilvl="0" w:tplc="23EA3DEA">
      <w:start w:val="1"/>
      <w:numFmt w:val="decimal"/>
      <w:lvlText w:val="%1."/>
      <w:lvlJc w:val="left"/>
      <w:pPr>
        <w:tabs>
          <w:tab w:val="num" w:pos="720"/>
        </w:tabs>
        <w:ind w:left="720" w:hanging="360"/>
      </w:pPr>
    </w:lvl>
    <w:lvl w:ilvl="1" w:tplc="CEC4F3D4" w:tentative="1">
      <w:start w:val="1"/>
      <w:numFmt w:val="decimal"/>
      <w:lvlText w:val="%2."/>
      <w:lvlJc w:val="left"/>
      <w:pPr>
        <w:tabs>
          <w:tab w:val="num" w:pos="1440"/>
        </w:tabs>
        <w:ind w:left="1440" w:hanging="360"/>
      </w:pPr>
    </w:lvl>
    <w:lvl w:ilvl="2" w:tplc="B5C02F6C" w:tentative="1">
      <w:start w:val="1"/>
      <w:numFmt w:val="decimal"/>
      <w:lvlText w:val="%3."/>
      <w:lvlJc w:val="left"/>
      <w:pPr>
        <w:tabs>
          <w:tab w:val="num" w:pos="2160"/>
        </w:tabs>
        <w:ind w:left="2160" w:hanging="360"/>
      </w:pPr>
    </w:lvl>
    <w:lvl w:ilvl="3" w:tplc="9B268BEE" w:tentative="1">
      <w:start w:val="1"/>
      <w:numFmt w:val="decimal"/>
      <w:lvlText w:val="%4."/>
      <w:lvlJc w:val="left"/>
      <w:pPr>
        <w:tabs>
          <w:tab w:val="num" w:pos="2880"/>
        </w:tabs>
        <w:ind w:left="2880" w:hanging="360"/>
      </w:pPr>
    </w:lvl>
    <w:lvl w:ilvl="4" w:tplc="C2861B70" w:tentative="1">
      <w:start w:val="1"/>
      <w:numFmt w:val="decimal"/>
      <w:lvlText w:val="%5."/>
      <w:lvlJc w:val="left"/>
      <w:pPr>
        <w:tabs>
          <w:tab w:val="num" w:pos="3600"/>
        </w:tabs>
        <w:ind w:left="3600" w:hanging="360"/>
      </w:pPr>
    </w:lvl>
    <w:lvl w:ilvl="5" w:tplc="0F70B684" w:tentative="1">
      <w:start w:val="1"/>
      <w:numFmt w:val="decimal"/>
      <w:lvlText w:val="%6."/>
      <w:lvlJc w:val="left"/>
      <w:pPr>
        <w:tabs>
          <w:tab w:val="num" w:pos="4320"/>
        </w:tabs>
        <w:ind w:left="4320" w:hanging="360"/>
      </w:pPr>
    </w:lvl>
    <w:lvl w:ilvl="6" w:tplc="9ADEDA64" w:tentative="1">
      <w:start w:val="1"/>
      <w:numFmt w:val="decimal"/>
      <w:lvlText w:val="%7."/>
      <w:lvlJc w:val="left"/>
      <w:pPr>
        <w:tabs>
          <w:tab w:val="num" w:pos="5040"/>
        </w:tabs>
        <w:ind w:left="5040" w:hanging="360"/>
      </w:pPr>
    </w:lvl>
    <w:lvl w:ilvl="7" w:tplc="E4309180" w:tentative="1">
      <w:start w:val="1"/>
      <w:numFmt w:val="decimal"/>
      <w:lvlText w:val="%8."/>
      <w:lvlJc w:val="left"/>
      <w:pPr>
        <w:tabs>
          <w:tab w:val="num" w:pos="5760"/>
        </w:tabs>
        <w:ind w:left="5760" w:hanging="360"/>
      </w:pPr>
    </w:lvl>
    <w:lvl w:ilvl="8" w:tplc="663C94F6" w:tentative="1">
      <w:start w:val="1"/>
      <w:numFmt w:val="decimal"/>
      <w:lvlText w:val="%9."/>
      <w:lvlJc w:val="left"/>
      <w:pPr>
        <w:tabs>
          <w:tab w:val="num" w:pos="6480"/>
        </w:tabs>
        <w:ind w:left="6480" w:hanging="360"/>
      </w:pPr>
    </w:lvl>
  </w:abstractNum>
  <w:abstractNum w:abstractNumId="11" w15:restartNumberingAfterBreak="0">
    <w:nsid w:val="137E7B4A"/>
    <w:multiLevelType w:val="hybridMultilevel"/>
    <w:tmpl w:val="4C0C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12948"/>
    <w:multiLevelType w:val="hybridMultilevel"/>
    <w:tmpl w:val="809413FE"/>
    <w:lvl w:ilvl="0" w:tplc="BA46AC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493AAE"/>
    <w:multiLevelType w:val="hybridMultilevel"/>
    <w:tmpl w:val="EAAC6D3E"/>
    <w:lvl w:ilvl="0" w:tplc="BA46AC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E44C94"/>
    <w:multiLevelType w:val="hybridMultilevel"/>
    <w:tmpl w:val="2FBC9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BF09BE"/>
    <w:multiLevelType w:val="hybridMultilevel"/>
    <w:tmpl w:val="EBE09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F25937"/>
    <w:multiLevelType w:val="hybridMultilevel"/>
    <w:tmpl w:val="C9C0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9825FD"/>
    <w:multiLevelType w:val="hybridMultilevel"/>
    <w:tmpl w:val="566CEC08"/>
    <w:lvl w:ilvl="0" w:tplc="7A14C5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B97E35"/>
    <w:multiLevelType w:val="hybridMultilevel"/>
    <w:tmpl w:val="0E02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740A5C"/>
    <w:multiLevelType w:val="hybridMultilevel"/>
    <w:tmpl w:val="22BE570A"/>
    <w:lvl w:ilvl="0" w:tplc="7D78F164">
      <w:start w:val="7"/>
      <w:numFmt w:val="decimal"/>
      <w:lvlText w:val="%1."/>
      <w:lvlJc w:val="left"/>
      <w:pPr>
        <w:tabs>
          <w:tab w:val="num" w:pos="720"/>
        </w:tabs>
        <w:ind w:left="720" w:hanging="360"/>
      </w:pPr>
    </w:lvl>
    <w:lvl w:ilvl="1" w:tplc="3B327664" w:tentative="1">
      <w:start w:val="1"/>
      <w:numFmt w:val="decimal"/>
      <w:lvlText w:val="%2."/>
      <w:lvlJc w:val="left"/>
      <w:pPr>
        <w:tabs>
          <w:tab w:val="num" w:pos="1440"/>
        </w:tabs>
        <w:ind w:left="1440" w:hanging="360"/>
      </w:pPr>
    </w:lvl>
    <w:lvl w:ilvl="2" w:tplc="72442306" w:tentative="1">
      <w:start w:val="1"/>
      <w:numFmt w:val="decimal"/>
      <w:lvlText w:val="%3."/>
      <w:lvlJc w:val="left"/>
      <w:pPr>
        <w:tabs>
          <w:tab w:val="num" w:pos="2160"/>
        </w:tabs>
        <w:ind w:left="2160" w:hanging="360"/>
      </w:pPr>
    </w:lvl>
    <w:lvl w:ilvl="3" w:tplc="1FEAB18E" w:tentative="1">
      <w:start w:val="1"/>
      <w:numFmt w:val="decimal"/>
      <w:lvlText w:val="%4."/>
      <w:lvlJc w:val="left"/>
      <w:pPr>
        <w:tabs>
          <w:tab w:val="num" w:pos="2880"/>
        </w:tabs>
        <w:ind w:left="2880" w:hanging="360"/>
      </w:pPr>
    </w:lvl>
    <w:lvl w:ilvl="4" w:tplc="1C30DEA4" w:tentative="1">
      <w:start w:val="1"/>
      <w:numFmt w:val="decimal"/>
      <w:lvlText w:val="%5."/>
      <w:lvlJc w:val="left"/>
      <w:pPr>
        <w:tabs>
          <w:tab w:val="num" w:pos="3600"/>
        </w:tabs>
        <w:ind w:left="3600" w:hanging="360"/>
      </w:pPr>
    </w:lvl>
    <w:lvl w:ilvl="5" w:tplc="F342BA0E" w:tentative="1">
      <w:start w:val="1"/>
      <w:numFmt w:val="decimal"/>
      <w:lvlText w:val="%6."/>
      <w:lvlJc w:val="left"/>
      <w:pPr>
        <w:tabs>
          <w:tab w:val="num" w:pos="4320"/>
        </w:tabs>
        <w:ind w:left="4320" w:hanging="360"/>
      </w:pPr>
    </w:lvl>
    <w:lvl w:ilvl="6" w:tplc="5614A328" w:tentative="1">
      <w:start w:val="1"/>
      <w:numFmt w:val="decimal"/>
      <w:lvlText w:val="%7."/>
      <w:lvlJc w:val="left"/>
      <w:pPr>
        <w:tabs>
          <w:tab w:val="num" w:pos="5040"/>
        </w:tabs>
        <w:ind w:left="5040" w:hanging="360"/>
      </w:pPr>
    </w:lvl>
    <w:lvl w:ilvl="7" w:tplc="A1027C64" w:tentative="1">
      <w:start w:val="1"/>
      <w:numFmt w:val="decimal"/>
      <w:lvlText w:val="%8."/>
      <w:lvlJc w:val="left"/>
      <w:pPr>
        <w:tabs>
          <w:tab w:val="num" w:pos="5760"/>
        </w:tabs>
        <w:ind w:left="5760" w:hanging="360"/>
      </w:pPr>
    </w:lvl>
    <w:lvl w:ilvl="8" w:tplc="8FCC25B2" w:tentative="1">
      <w:start w:val="1"/>
      <w:numFmt w:val="decimal"/>
      <w:lvlText w:val="%9."/>
      <w:lvlJc w:val="left"/>
      <w:pPr>
        <w:tabs>
          <w:tab w:val="num" w:pos="6480"/>
        </w:tabs>
        <w:ind w:left="6480" w:hanging="360"/>
      </w:pPr>
    </w:lvl>
  </w:abstractNum>
  <w:abstractNum w:abstractNumId="20" w15:restartNumberingAfterBreak="0">
    <w:nsid w:val="50C272E8"/>
    <w:multiLevelType w:val="hybridMultilevel"/>
    <w:tmpl w:val="B3265882"/>
    <w:lvl w:ilvl="0" w:tplc="0EDEBB5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86C3B5F"/>
    <w:multiLevelType w:val="hybridMultilevel"/>
    <w:tmpl w:val="D728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14"/>
  </w:num>
  <w:num w:numId="4">
    <w:abstractNumId w:val="15"/>
  </w:num>
  <w:num w:numId="5">
    <w:abstractNumId w:val="18"/>
  </w:num>
  <w:num w:numId="6">
    <w:abstractNumId w:val="16"/>
  </w:num>
  <w:num w:numId="7">
    <w:abstractNumId w:val="20"/>
  </w:num>
  <w:num w:numId="8">
    <w:abstractNumId w:val="17"/>
  </w:num>
  <w:num w:numId="9">
    <w:abstractNumId w:val="9"/>
  </w:num>
  <w:num w:numId="10">
    <w:abstractNumId w:val="8"/>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17"/>
  </w:num>
  <w:num w:numId="20">
    <w:abstractNumId w:val="20"/>
  </w:num>
  <w:num w:numId="21">
    <w:abstractNumId w:val="13"/>
  </w:num>
  <w:num w:numId="22">
    <w:abstractNumId w:val="10"/>
  </w:num>
  <w:num w:numId="23">
    <w:abstractNumId w:val="1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2E8"/>
    <w:rsid w:val="000259B0"/>
    <w:rsid w:val="00065EAC"/>
    <w:rsid w:val="0008255F"/>
    <w:rsid w:val="00184FE7"/>
    <w:rsid w:val="001E79E4"/>
    <w:rsid w:val="0020198D"/>
    <w:rsid w:val="00201E4D"/>
    <w:rsid w:val="00286EDA"/>
    <w:rsid w:val="00287227"/>
    <w:rsid w:val="002E5C47"/>
    <w:rsid w:val="003173F4"/>
    <w:rsid w:val="004C525D"/>
    <w:rsid w:val="00582B16"/>
    <w:rsid w:val="005A7B32"/>
    <w:rsid w:val="005B7C95"/>
    <w:rsid w:val="006177FA"/>
    <w:rsid w:val="0062588C"/>
    <w:rsid w:val="00677953"/>
    <w:rsid w:val="006A3F7D"/>
    <w:rsid w:val="006B0B4E"/>
    <w:rsid w:val="006B5434"/>
    <w:rsid w:val="006C21CF"/>
    <w:rsid w:val="007F3ED8"/>
    <w:rsid w:val="007F68EE"/>
    <w:rsid w:val="00825F04"/>
    <w:rsid w:val="008C70EE"/>
    <w:rsid w:val="009308CC"/>
    <w:rsid w:val="009A2EC2"/>
    <w:rsid w:val="00AA6019"/>
    <w:rsid w:val="00AC71A5"/>
    <w:rsid w:val="00AE42E8"/>
    <w:rsid w:val="00B26B0A"/>
    <w:rsid w:val="00B47A2D"/>
    <w:rsid w:val="00BE66BD"/>
    <w:rsid w:val="00C91D84"/>
    <w:rsid w:val="00CA0750"/>
    <w:rsid w:val="00CD114C"/>
    <w:rsid w:val="00D4024A"/>
    <w:rsid w:val="00D97286"/>
    <w:rsid w:val="00DA7010"/>
    <w:rsid w:val="00DF6C0F"/>
    <w:rsid w:val="00E1021E"/>
    <w:rsid w:val="00E454FE"/>
    <w:rsid w:val="00E4688F"/>
    <w:rsid w:val="00E835F8"/>
    <w:rsid w:val="00E8616E"/>
    <w:rsid w:val="00ED2DF6"/>
    <w:rsid w:val="00F0310B"/>
    <w:rsid w:val="00F37FD5"/>
    <w:rsid w:val="00FA1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6F7B92-6F45-498B-BAB5-C96C23BE9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Text"/>
    <w:qFormat/>
    <w:rsid w:val="00F37FD5"/>
    <w:pPr>
      <w:spacing w:line="240" w:lineRule="auto"/>
    </w:pPr>
    <w:rPr>
      <w:rFonts w:ascii="Verdana" w:hAnsi="Verdana"/>
      <w:sz w:val="20"/>
    </w:rPr>
  </w:style>
  <w:style w:type="paragraph" w:styleId="Heading1">
    <w:name w:val="heading 1"/>
    <w:basedOn w:val="BLRDocumentTitle"/>
    <w:next w:val="Normal"/>
    <w:link w:val="Heading1Char"/>
    <w:uiPriority w:val="9"/>
    <w:rsid w:val="00E4688F"/>
    <w:pPr>
      <w:outlineLvl w:val="0"/>
    </w:pPr>
  </w:style>
  <w:style w:type="paragraph" w:styleId="Heading2">
    <w:name w:val="heading 2"/>
    <w:basedOn w:val="BLRSubHead1"/>
    <w:link w:val="Heading2Char"/>
    <w:uiPriority w:val="9"/>
    <w:rsid w:val="00BE66BD"/>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21E"/>
    <w:pPr>
      <w:tabs>
        <w:tab w:val="center" w:pos="4680"/>
        <w:tab w:val="right" w:pos="9360"/>
      </w:tabs>
      <w:spacing w:after="0"/>
    </w:pPr>
  </w:style>
  <w:style w:type="character" w:customStyle="1" w:styleId="HeaderChar">
    <w:name w:val="Header Char"/>
    <w:basedOn w:val="DefaultParagraphFont"/>
    <w:link w:val="Header"/>
    <w:uiPriority w:val="99"/>
    <w:rsid w:val="00E1021E"/>
  </w:style>
  <w:style w:type="paragraph" w:styleId="Footer">
    <w:name w:val="footer"/>
    <w:basedOn w:val="Normal"/>
    <w:link w:val="FooterChar"/>
    <w:uiPriority w:val="99"/>
    <w:unhideWhenUsed/>
    <w:rsid w:val="00E1021E"/>
    <w:pPr>
      <w:tabs>
        <w:tab w:val="center" w:pos="4680"/>
        <w:tab w:val="right" w:pos="9360"/>
      </w:tabs>
      <w:spacing w:after="0"/>
    </w:pPr>
  </w:style>
  <w:style w:type="character" w:customStyle="1" w:styleId="FooterChar">
    <w:name w:val="Footer Char"/>
    <w:basedOn w:val="DefaultParagraphFont"/>
    <w:link w:val="Footer"/>
    <w:uiPriority w:val="99"/>
    <w:rsid w:val="00E1021E"/>
  </w:style>
  <w:style w:type="table" w:styleId="TableGrid">
    <w:name w:val="Table Grid"/>
    <w:basedOn w:val="TableNormal"/>
    <w:uiPriority w:val="39"/>
    <w:rsid w:val="00E10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E66BD"/>
    <w:rPr>
      <w:rFonts w:ascii="Verdana" w:hAnsi="Verdana"/>
      <w:b/>
      <w:sz w:val="24"/>
    </w:rPr>
  </w:style>
  <w:style w:type="character" w:styleId="Hyperlink">
    <w:name w:val="Hyperlink"/>
    <w:basedOn w:val="DefaultParagraphFont"/>
    <w:uiPriority w:val="99"/>
    <w:unhideWhenUsed/>
    <w:rsid w:val="00F37FD5"/>
    <w:rPr>
      <w:rFonts w:ascii="Verdana" w:hAnsi="Verdana"/>
      <w:color w:val="0563C1" w:themeColor="hyperlink"/>
      <w:sz w:val="20"/>
      <w:u w:val="single"/>
    </w:rPr>
  </w:style>
  <w:style w:type="paragraph" w:styleId="NormalWeb">
    <w:name w:val="Normal (Web)"/>
    <w:basedOn w:val="Normal"/>
    <w:uiPriority w:val="99"/>
    <w:semiHidden/>
    <w:unhideWhenUsed/>
    <w:rsid w:val="00201E4D"/>
    <w:pPr>
      <w:spacing w:before="100" w:beforeAutospacing="1" w:after="100" w:afterAutospacing="1"/>
    </w:pPr>
    <w:rPr>
      <w:rFonts w:ascii="Times New Roman" w:eastAsia="Times New Roman" w:hAnsi="Times New Roman" w:cs="Times New Roman"/>
      <w:sz w:val="24"/>
      <w:szCs w:val="24"/>
    </w:rPr>
  </w:style>
  <w:style w:type="paragraph" w:customStyle="1" w:styleId="SubHead1">
    <w:name w:val="SubHead 1"/>
    <w:basedOn w:val="BLRSubHead1"/>
    <w:link w:val="SubHead1Char"/>
    <w:rsid w:val="00E4688F"/>
  </w:style>
  <w:style w:type="paragraph" w:customStyle="1" w:styleId="SubHead2">
    <w:name w:val="SubHead 2"/>
    <w:basedOn w:val="BLRSubHead2"/>
    <w:link w:val="SubHead2Char"/>
    <w:rsid w:val="00E4688F"/>
  </w:style>
  <w:style w:type="character" w:customStyle="1" w:styleId="SubHead1Char">
    <w:name w:val="SubHead 1 Char"/>
    <w:basedOn w:val="DefaultParagraphFont"/>
    <w:link w:val="SubHead1"/>
    <w:rsid w:val="00E4688F"/>
    <w:rPr>
      <w:rFonts w:ascii="Verdana" w:hAnsi="Verdana"/>
      <w:b/>
      <w:sz w:val="24"/>
    </w:rPr>
  </w:style>
  <w:style w:type="character" w:customStyle="1" w:styleId="Heading1Char">
    <w:name w:val="Heading 1 Char"/>
    <w:basedOn w:val="DefaultParagraphFont"/>
    <w:link w:val="Heading1"/>
    <w:uiPriority w:val="9"/>
    <w:rsid w:val="00E4688F"/>
    <w:rPr>
      <w:rFonts w:ascii="Verdana" w:hAnsi="Verdana"/>
      <w:b/>
      <w:sz w:val="28"/>
      <w:szCs w:val="28"/>
    </w:rPr>
  </w:style>
  <w:style w:type="character" w:customStyle="1" w:styleId="SubHead2Char">
    <w:name w:val="SubHead 2 Char"/>
    <w:basedOn w:val="DefaultParagraphFont"/>
    <w:link w:val="SubHead2"/>
    <w:rsid w:val="00E4688F"/>
    <w:rPr>
      <w:rFonts w:ascii="Verdana" w:hAnsi="Verdana"/>
      <w:b/>
    </w:rPr>
  </w:style>
  <w:style w:type="paragraph" w:customStyle="1" w:styleId="BulletedList">
    <w:name w:val="Bulleted List"/>
    <w:basedOn w:val="BLRBulletedList"/>
    <w:link w:val="BulletedListChar"/>
    <w:rsid w:val="00BE66BD"/>
  </w:style>
  <w:style w:type="character" w:customStyle="1" w:styleId="BulletedListChar">
    <w:name w:val="Bulleted List Char"/>
    <w:basedOn w:val="DefaultParagraphFont"/>
    <w:link w:val="BulletedList"/>
    <w:rsid w:val="00BE66BD"/>
    <w:rPr>
      <w:rFonts w:ascii="Verdana" w:hAnsi="Verdana"/>
      <w:sz w:val="20"/>
    </w:rPr>
  </w:style>
  <w:style w:type="paragraph" w:customStyle="1" w:styleId="BLRDocumentTitle">
    <w:name w:val="BLR Document Title"/>
    <w:basedOn w:val="Normal"/>
    <w:link w:val="BLRDocumentTitleChar"/>
    <w:qFormat/>
    <w:rsid w:val="00E4688F"/>
    <w:pPr>
      <w:spacing w:before="240"/>
    </w:pPr>
    <w:rPr>
      <w:b/>
      <w:sz w:val="28"/>
      <w:szCs w:val="28"/>
    </w:rPr>
  </w:style>
  <w:style w:type="character" w:customStyle="1" w:styleId="BLRDocumentTitleChar">
    <w:name w:val="BLR Document Title Char"/>
    <w:basedOn w:val="DefaultParagraphFont"/>
    <w:link w:val="BLRDocumentTitle"/>
    <w:rsid w:val="00E4688F"/>
    <w:rPr>
      <w:rFonts w:ascii="Verdana" w:hAnsi="Verdana"/>
      <w:b/>
      <w:sz w:val="28"/>
      <w:szCs w:val="28"/>
    </w:rPr>
  </w:style>
  <w:style w:type="paragraph" w:customStyle="1" w:styleId="BLRBulletedList">
    <w:name w:val="BLR Bulleted List"/>
    <w:basedOn w:val="Normal"/>
    <w:link w:val="BLRBulletedListChar"/>
    <w:qFormat/>
    <w:rsid w:val="00BE66BD"/>
    <w:pPr>
      <w:ind w:left="720" w:hanging="360"/>
      <w:contextualSpacing/>
    </w:pPr>
  </w:style>
  <w:style w:type="character" w:customStyle="1" w:styleId="BLRBulletedListChar">
    <w:name w:val="BLR Bulleted List Char"/>
    <w:basedOn w:val="DefaultParagraphFont"/>
    <w:link w:val="BLRBulletedList"/>
    <w:rsid w:val="00BE66BD"/>
    <w:rPr>
      <w:rFonts w:ascii="Verdana" w:hAnsi="Verdana"/>
      <w:sz w:val="20"/>
    </w:rPr>
  </w:style>
  <w:style w:type="paragraph" w:customStyle="1" w:styleId="BLRSubHead1">
    <w:name w:val="BLR SubHead 1"/>
    <w:basedOn w:val="Normal"/>
    <w:link w:val="BLRSubHead1Char"/>
    <w:qFormat/>
    <w:rsid w:val="00E4688F"/>
    <w:pPr>
      <w:spacing w:before="240"/>
    </w:pPr>
    <w:rPr>
      <w:b/>
      <w:sz w:val="24"/>
    </w:rPr>
  </w:style>
  <w:style w:type="character" w:customStyle="1" w:styleId="BLRSubHead1Char">
    <w:name w:val="BLR SubHead 1 Char"/>
    <w:basedOn w:val="DefaultParagraphFont"/>
    <w:link w:val="BLRSubHead1"/>
    <w:rsid w:val="00E4688F"/>
    <w:rPr>
      <w:rFonts w:ascii="Verdana" w:hAnsi="Verdana"/>
      <w:b/>
      <w:sz w:val="24"/>
    </w:rPr>
  </w:style>
  <w:style w:type="paragraph" w:customStyle="1" w:styleId="BLRSubHead2">
    <w:name w:val="BLR SubHead 2"/>
    <w:basedOn w:val="Normal"/>
    <w:link w:val="BLRSubHead2Char"/>
    <w:qFormat/>
    <w:rsid w:val="00E4688F"/>
    <w:pPr>
      <w:spacing w:before="240"/>
    </w:pPr>
    <w:rPr>
      <w:b/>
      <w:sz w:val="22"/>
    </w:rPr>
  </w:style>
  <w:style w:type="character" w:customStyle="1" w:styleId="BLRSubHead2Char">
    <w:name w:val="BLR SubHead 2 Char"/>
    <w:basedOn w:val="DefaultParagraphFont"/>
    <w:link w:val="BLRSubHead2"/>
    <w:rsid w:val="00E4688F"/>
    <w:rPr>
      <w:rFonts w:ascii="Verdana" w:hAnsi="Verdana"/>
      <w:b/>
    </w:rPr>
  </w:style>
  <w:style w:type="paragraph" w:customStyle="1" w:styleId="BLRNormalBodyText">
    <w:name w:val="BLR Normal Body Text"/>
    <w:basedOn w:val="Heading1"/>
    <w:qFormat/>
    <w:rsid w:val="00CA0750"/>
    <w:pPr>
      <w:spacing w:before="0"/>
    </w:pPr>
    <w:rPr>
      <w:b w:val="0"/>
      <w:sz w:val="20"/>
    </w:rPr>
  </w:style>
  <w:style w:type="paragraph" w:customStyle="1" w:styleId="BLRTableHeads">
    <w:name w:val="BLR Table Heads"/>
    <w:basedOn w:val="BLRNormalBodyText"/>
    <w:qFormat/>
    <w:rsid w:val="00E8616E"/>
    <w:rPr>
      <w:b/>
    </w:rPr>
  </w:style>
  <w:style w:type="paragraph" w:styleId="ListParagraph">
    <w:name w:val="List Paragraph"/>
    <w:basedOn w:val="Normal"/>
    <w:uiPriority w:val="34"/>
    <w:qFormat/>
    <w:rsid w:val="006C21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BLR Guidance Document Template 2017</vt:lpstr>
    </vt:vector>
  </TitlesOfParts>
  <Company/>
  <LinksUpToDate>false</LinksUpToDate>
  <CharactersWithSpaces>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BLR Guidance Document Template 2017</dc:title>
  <dc:subject/>
  <dc:creator>Tim Fagan</dc:creator>
  <cp:keywords/>
  <dc:description/>
  <cp:lastModifiedBy>Ametewee, Selorm</cp:lastModifiedBy>
  <cp:revision>2</cp:revision>
  <cp:lastPrinted>2016-12-19T17:34:00Z</cp:lastPrinted>
  <dcterms:created xsi:type="dcterms:W3CDTF">2019-02-14T09:16:00Z</dcterms:created>
  <dcterms:modified xsi:type="dcterms:W3CDTF">2019-02-14T09:16:00Z</dcterms:modified>
</cp:coreProperties>
</file>