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661" w:rsidRPr="00B4111C" w:rsidRDefault="00094661" w:rsidP="00E23E83">
      <w:pPr>
        <w:pStyle w:val="Head1"/>
        <w:jc w:val="center"/>
      </w:pPr>
      <w:bookmarkStart w:id="0" w:name="_GoBack"/>
      <w:bookmarkEnd w:id="0"/>
      <w:r w:rsidRPr="00B4111C">
        <w:t>Facility Security Risk Assessment Guidelines</w:t>
      </w:r>
    </w:p>
    <w:p w:rsidR="00094661" w:rsidRPr="00B4111C" w:rsidRDefault="00094661" w:rsidP="00094661"/>
    <w:p w:rsidR="00E23E83" w:rsidRDefault="00E23E83" w:rsidP="00E23E83">
      <w:pPr>
        <w:pStyle w:val="Head2"/>
      </w:pPr>
      <w:r>
        <w:t>Assessment Process Overview</w:t>
      </w:r>
    </w:p>
    <w:p w:rsidR="00094661" w:rsidRPr="00B4111C" w:rsidRDefault="00094661" w:rsidP="00094661">
      <w:r w:rsidRPr="00B4111C">
        <w:t>The Risk Assessment process include</w:t>
      </w:r>
      <w:r w:rsidR="0075172F">
        <w:t>s</w:t>
      </w:r>
      <w:r w:rsidRPr="00B4111C">
        <w:t xml:space="preserve"> the following steps: </w:t>
      </w:r>
    </w:p>
    <w:p w:rsidR="00094661" w:rsidRPr="00B4111C" w:rsidRDefault="00094661" w:rsidP="00094661">
      <w:r w:rsidRPr="00B4111C">
        <w:t xml:space="preserve">1. Identify the assets. </w:t>
      </w:r>
    </w:p>
    <w:p w:rsidR="00094661" w:rsidRPr="00B4111C" w:rsidRDefault="00094661" w:rsidP="00094661">
      <w:r>
        <w:t>2. Determine the critical level</w:t>
      </w:r>
      <w:r w:rsidRPr="00B4111C">
        <w:t xml:space="preserve"> of assets. </w:t>
      </w:r>
    </w:p>
    <w:p w:rsidR="00094661" w:rsidRPr="00B4111C" w:rsidRDefault="00094661" w:rsidP="00094661">
      <w:r w:rsidRPr="00B4111C">
        <w:t xml:space="preserve">3. Identify the threats to each critical asset. </w:t>
      </w:r>
    </w:p>
    <w:p w:rsidR="00094661" w:rsidRPr="00B4111C" w:rsidRDefault="00094661" w:rsidP="00094661">
      <w:r w:rsidRPr="00B4111C">
        <w:t>4. Identify the existing counterm</w:t>
      </w:r>
      <w:r>
        <w:t>easures (existing s</w:t>
      </w:r>
      <w:r w:rsidRPr="00B4111C">
        <w:t xml:space="preserve">ecurity is existing countermeasures). </w:t>
      </w:r>
    </w:p>
    <w:p w:rsidR="00094661" w:rsidRPr="00B4111C" w:rsidRDefault="00094661" w:rsidP="00094661">
      <w:r w:rsidRPr="00B4111C">
        <w:t xml:space="preserve">5. Determine the vulnerability level of each critical asset. </w:t>
      </w:r>
    </w:p>
    <w:p w:rsidR="00094661" w:rsidRPr="00B4111C" w:rsidRDefault="00094661" w:rsidP="00094661">
      <w:r w:rsidRPr="00B4111C">
        <w:t xml:space="preserve">6. Determine the risk level of each critical asset. </w:t>
      </w:r>
    </w:p>
    <w:p w:rsidR="00094661" w:rsidRPr="00B4111C" w:rsidRDefault="00094661" w:rsidP="00094661">
      <w:r w:rsidRPr="00B4111C">
        <w:t xml:space="preserve">7. Recommend security upgrades to reduce high levels of risk. </w:t>
      </w:r>
    </w:p>
    <w:p w:rsidR="00094661" w:rsidRPr="00B4111C" w:rsidRDefault="00094661" w:rsidP="00094661">
      <w:r w:rsidRPr="00B4111C">
        <w:t>8. Perform a cost-benefit analysis in support of upgrade recommendation</w:t>
      </w:r>
      <w:r>
        <w:t xml:space="preserve"> if possible</w:t>
      </w:r>
      <w:r w:rsidRPr="00B4111C">
        <w:t>.</w:t>
      </w:r>
    </w:p>
    <w:p w:rsidR="00094661" w:rsidRDefault="00094661" w:rsidP="00094661"/>
    <w:p w:rsidR="00094661" w:rsidRPr="00B4111C" w:rsidRDefault="00094661" w:rsidP="00E23E83">
      <w:pPr>
        <w:pStyle w:val="Head2"/>
      </w:pPr>
      <w:r>
        <w:t>Definitions</w:t>
      </w:r>
    </w:p>
    <w:p w:rsidR="00094661" w:rsidRPr="00B4111C" w:rsidRDefault="00094661" w:rsidP="00094661">
      <w:r w:rsidRPr="002D721B">
        <w:rPr>
          <w:i/>
        </w:rPr>
        <w:t>Asset</w:t>
      </w:r>
      <w:r>
        <w:t xml:space="preserve"> means</w:t>
      </w:r>
      <w:r w:rsidRPr="00B4111C">
        <w:t xml:space="preserve"> a person, place</w:t>
      </w:r>
      <w:r w:rsidR="00B00FC7">
        <w:t>,</w:t>
      </w:r>
      <w:r w:rsidRPr="00B4111C">
        <w:t xml:space="preserve"> </w:t>
      </w:r>
      <w:r w:rsidR="006D574F">
        <w:t>item, or information</w:t>
      </w:r>
      <w:r w:rsidR="00930BD1">
        <w:t xml:space="preserve"> associated with the operation or function of the facility or organization</w:t>
      </w:r>
      <w:r w:rsidRPr="00B4111C">
        <w:t xml:space="preserve">. Its value may be quantifiable in terms of dollars. The total cost of damage to or loss of an asset is evaluated in the process. This may include replacement cost, repair cost, and the financial impact (consequence cost) of the loss event. </w:t>
      </w:r>
    </w:p>
    <w:p w:rsidR="00094661" w:rsidRPr="00B4111C" w:rsidRDefault="00094661" w:rsidP="00094661"/>
    <w:p w:rsidR="00094661" w:rsidRPr="00B4111C" w:rsidRDefault="00094661" w:rsidP="00094661">
      <w:r w:rsidRPr="002D721B">
        <w:rPr>
          <w:i/>
        </w:rPr>
        <w:t>Loss event</w:t>
      </w:r>
      <w:r>
        <w:t xml:space="preserve"> means </w:t>
      </w:r>
      <w:r w:rsidRPr="00B4111C">
        <w:t>physical</w:t>
      </w:r>
      <w:r w:rsidR="006D574F">
        <w:t xml:space="preserve"> or financial</w:t>
      </w:r>
      <w:r w:rsidRPr="00B4111C">
        <w:t xml:space="preserve"> damage to or destruction of an asset. While human life is priceless, the process requires that each asset be given a value. </w:t>
      </w:r>
    </w:p>
    <w:p w:rsidR="00094661" w:rsidRDefault="00094661" w:rsidP="00094661"/>
    <w:p w:rsidR="00094661" w:rsidRPr="00B4111C" w:rsidRDefault="00094661" w:rsidP="00094661">
      <w:r w:rsidRPr="002D721B">
        <w:rPr>
          <w:i/>
        </w:rPr>
        <w:t>Critical level of an asset</w:t>
      </w:r>
      <w:r w:rsidRPr="00B4111C">
        <w:t xml:space="preserve"> is determined by the impact its damage or loss will have on the </w:t>
      </w:r>
      <w:r w:rsidR="00A67CE4" w:rsidRPr="00A67CE4">
        <w:t>continued operation of the business and its facilities and personnel</w:t>
      </w:r>
      <w:r w:rsidRPr="00B4111C">
        <w:t xml:space="preserve">. Criticality values are assigned on a scale of 1 through 4. </w:t>
      </w:r>
      <w:r w:rsidR="00930BD1">
        <w:t xml:space="preserve">See </w:t>
      </w:r>
      <w:r w:rsidR="00930BD1" w:rsidRPr="00D0452E">
        <w:rPr>
          <w:rStyle w:val="InternalRefChar"/>
        </w:rPr>
        <w:t>Rating the Impact of Loss</w:t>
      </w:r>
      <w:r w:rsidR="00930BD1">
        <w:t xml:space="preserve"> section below.</w:t>
      </w:r>
    </w:p>
    <w:p w:rsidR="00094661" w:rsidRDefault="00094661" w:rsidP="00094661"/>
    <w:p w:rsidR="00094661" w:rsidRPr="00B4111C" w:rsidRDefault="00094661" w:rsidP="00094661">
      <w:r w:rsidRPr="002D721B">
        <w:rPr>
          <w:i/>
        </w:rPr>
        <w:t>Threat</w:t>
      </w:r>
      <w:r>
        <w:t xml:space="preserve"> means</w:t>
      </w:r>
      <w:r w:rsidRPr="00B4111C">
        <w:t xml:space="preserve"> any action or event, whet</w:t>
      </w:r>
      <w:r w:rsidR="00272551">
        <w:t xml:space="preserve">her human or natural in origin, </w:t>
      </w:r>
      <w:r w:rsidRPr="00B4111C">
        <w:t xml:space="preserve">that can result in a loss event. </w:t>
      </w:r>
      <w:r>
        <w:t xml:space="preserve">Determine </w:t>
      </w:r>
      <w:r w:rsidRPr="00B4111C">
        <w:t>the probability of a specific threat su</w:t>
      </w:r>
      <w:r>
        <w:t xml:space="preserve">ccessfully causing a loss event, </w:t>
      </w:r>
      <w:r w:rsidRPr="00B4111C">
        <w:t>not the prob</w:t>
      </w:r>
      <w:r>
        <w:t>ability of the threat occurring.</w:t>
      </w:r>
      <w:r w:rsidRPr="00B4111C">
        <w:t xml:space="preserve"> This distinction is important and requires that the threats established be credible and realistic. A credible threat </w:t>
      </w:r>
      <w:r w:rsidR="00A67CE4">
        <w:t>assessment and response</w:t>
      </w:r>
      <w:r w:rsidR="00A67CE4" w:rsidRPr="00B4111C">
        <w:t xml:space="preserve"> </w:t>
      </w:r>
      <w:r w:rsidRPr="00B4111C">
        <w:t>should be established and is para</w:t>
      </w:r>
      <w:r>
        <w:t>mount to a successful security a</w:t>
      </w:r>
      <w:r w:rsidRPr="00B4111C">
        <w:t xml:space="preserve">ssessment. </w:t>
      </w:r>
      <w:r w:rsidR="00D0452E">
        <w:t>A</w:t>
      </w:r>
      <w:r w:rsidRPr="00B4111C">
        <w:t>ll possible threats</w:t>
      </w:r>
      <w:r w:rsidR="00D0452E">
        <w:t>, internal and external,</w:t>
      </w:r>
      <w:r w:rsidRPr="00B4111C">
        <w:t xml:space="preserve"> must be carefully considered. </w:t>
      </w:r>
    </w:p>
    <w:p w:rsidR="00094661" w:rsidRDefault="00094661" w:rsidP="00094661"/>
    <w:p w:rsidR="00094661" w:rsidRPr="00B4111C" w:rsidRDefault="00094661" w:rsidP="00094661">
      <w:r w:rsidRPr="002D721B">
        <w:rPr>
          <w:i/>
        </w:rPr>
        <w:t xml:space="preserve">Countermeasure </w:t>
      </w:r>
      <w:r>
        <w:t>means</w:t>
      </w:r>
      <w:r w:rsidRPr="00B4111C">
        <w:t xml:space="preserve"> any action or combination of actions involving physical, technical, administrative, procedural,</w:t>
      </w:r>
      <w:r w:rsidR="00D0452E">
        <w:t xml:space="preserve"> or other measure(s)</w:t>
      </w:r>
      <w:r w:rsidRPr="00B4111C">
        <w:t xml:space="preserve"> taken to reduce the severity of an identified risk. </w:t>
      </w:r>
    </w:p>
    <w:p w:rsidR="00094661" w:rsidRDefault="00094661" w:rsidP="00094661"/>
    <w:p w:rsidR="00094661" w:rsidRPr="00B4111C" w:rsidRDefault="00094661" w:rsidP="00E23E83">
      <w:pPr>
        <w:pStyle w:val="Head2"/>
      </w:pPr>
      <w:r>
        <w:t>Rating the</w:t>
      </w:r>
      <w:r w:rsidRPr="00B4111C">
        <w:t xml:space="preserve"> Impact of Loss </w:t>
      </w:r>
    </w:p>
    <w:p w:rsidR="00094661" w:rsidRPr="00B4111C" w:rsidRDefault="00094661" w:rsidP="00094661">
      <w:r>
        <w:t>The four levels of critical function(s) of an asset</w:t>
      </w:r>
      <w:r w:rsidRPr="00B4111C">
        <w:t xml:space="preserve"> are</w:t>
      </w:r>
      <w:r w:rsidR="00B00FC7">
        <w:t xml:space="preserve"> as follows</w:t>
      </w:r>
      <w:r w:rsidRPr="00B4111C">
        <w:t xml:space="preserve">: </w:t>
      </w:r>
    </w:p>
    <w:p w:rsidR="00094661" w:rsidRPr="00B4111C" w:rsidRDefault="00094661" w:rsidP="00094661">
      <w:r w:rsidRPr="0056240F">
        <w:rPr>
          <w:b/>
        </w:rPr>
        <w:t>1—Essential</w:t>
      </w:r>
      <w:r w:rsidR="00B00FC7">
        <w:rPr>
          <w:b/>
        </w:rPr>
        <w:t>:</w:t>
      </w:r>
      <w:r>
        <w:t xml:space="preserve"> </w:t>
      </w:r>
      <w:r w:rsidR="00B00FC7">
        <w:t>T</w:t>
      </w:r>
      <w:r w:rsidRPr="00B4111C">
        <w:t>otal destruction of (or severe damage</w:t>
      </w:r>
      <w:r w:rsidR="00B00FC7">
        <w:t xml:space="preserve"> to</w:t>
      </w:r>
      <w:r w:rsidRPr="00B4111C">
        <w:t xml:space="preserve">) the asset would cause complete loss of </w:t>
      </w:r>
      <w:r w:rsidR="000923E3">
        <w:t>business continuity</w:t>
      </w:r>
      <w:r w:rsidRPr="00B4111C">
        <w:t xml:space="preserve">. This is a catastrophic loss. </w:t>
      </w:r>
    </w:p>
    <w:p w:rsidR="00094661" w:rsidRPr="00B4111C" w:rsidRDefault="00094661" w:rsidP="00094661">
      <w:r w:rsidRPr="0056240F">
        <w:rPr>
          <w:b/>
        </w:rPr>
        <w:t>2—Critical</w:t>
      </w:r>
      <w:r w:rsidR="00B00FC7">
        <w:rPr>
          <w:b/>
        </w:rPr>
        <w:t>:</w:t>
      </w:r>
      <w:r w:rsidRPr="00B4111C">
        <w:t xml:space="preserve"> </w:t>
      </w:r>
      <w:r w:rsidR="00B00FC7">
        <w:t>T</w:t>
      </w:r>
      <w:r w:rsidRPr="00B4111C">
        <w:t>otal destruction of (or severe damage</w:t>
      </w:r>
      <w:r w:rsidR="00B00FC7">
        <w:t xml:space="preserve"> to</w:t>
      </w:r>
      <w:r w:rsidRPr="00B4111C">
        <w:t xml:space="preserve">) the asset would cause severe impairment of </w:t>
      </w:r>
      <w:r w:rsidR="000923E3">
        <w:t>business continuity</w:t>
      </w:r>
      <w:r w:rsidRPr="00B4111C">
        <w:t xml:space="preserve">. This is a serious loss. </w:t>
      </w:r>
    </w:p>
    <w:p w:rsidR="00094661" w:rsidRPr="00B4111C" w:rsidRDefault="00094661" w:rsidP="00094661">
      <w:r w:rsidRPr="0056240F">
        <w:rPr>
          <w:b/>
        </w:rPr>
        <w:t>3—Important</w:t>
      </w:r>
      <w:r w:rsidR="00B00FC7">
        <w:rPr>
          <w:b/>
        </w:rPr>
        <w:t>:</w:t>
      </w:r>
      <w:r w:rsidRPr="00B4111C">
        <w:t xml:space="preserve"> </w:t>
      </w:r>
      <w:r w:rsidR="00B00FC7">
        <w:t>T</w:t>
      </w:r>
      <w:r w:rsidRPr="00B4111C">
        <w:t>otal destruction of (or severe damage</w:t>
      </w:r>
      <w:r w:rsidR="00B00FC7">
        <w:t xml:space="preserve"> to</w:t>
      </w:r>
      <w:r w:rsidRPr="00B4111C">
        <w:t xml:space="preserve">) the asset would cause noticeable impact on </w:t>
      </w:r>
      <w:r w:rsidR="000923E3">
        <w:t>business continuity</w:t>
      </w:r>
      <w:r w:rsidRPr="00B4111C">
        <w:t xml:space="preserve">. This is a moderate loss. </w:t>
      </w:r>
    </w:p>
    <w:p w:rsidR="00094661" w:rsidRPr="00B4111C" w:rsidRDefault="00094661" w:rsidP="00094661">
      <w:r w:rsidRPr="0056240F">
        <w:rPr>
          <w:b/>
        </w:rPr>
        <w:t>4—Not important</w:t>
      </w:r>
      <w:r w:rsidR="00B00FC7">
        <w:rPr>
          <w:b/>
        </w:rPr>
        <w:t>:</w:t>
      </w:r>
      <w:r w:rsidRPr="00B4111C">
        <w:t xml:space="preserve"> </w:t>
      </w:r>
      <w:r w:rsidR="00B00FC7">
        <w:t>T</w:t>
      </w:r>
      <w:r w:rsidRPr="00B4111C">
        <w:t>otal destruction of (or sever</w:t>
      </w:r>
      <w:r w:rsidR="00B00FC7">
        <w:t>e</w:t>
      </w:r>
      <w:r w:rsidRPr="00B4111C">
        <w:t xml:space="preserve"> damage</w:t>
      </w:r>
      <w:r w:rsidR="00B00FC7">
        <w:t xml:space="preserve"> to</w:t>
      </w:r>
      <w:r w:rsidRPr="00B4111C">
        <w:t xml:space="preserve">) the asset would cause no noticeable impact on </w:t>
      </w:r>
      <w:r w:rsidR="000923E3">
        <w:t>business continuity</w:t>
      </w:r>
      <w:r w:rsidRPr="00B4111C">
        <w:t xml:space="preserve">. This is a minor loss. </w:t>
      </w:r>
    </w:p>
    <w:p w:rsidR="00094661" w:rsidRDefault="00094661" w:rsidP="00094661"/>
    <w:p w:rsidR="00094661" w:rsidRPr="00B4111C" w:rsidRDefault="00094661" w:rsidP="00E23E83">
      <w:pPr>
        <w:pStyle w:val="Head2"/>
      </w:pPr>
      <w:r w:rsidRPr="00B4111C">
        <w:t xml:space="preserve">Asset Vulnerability Rating </w:t>
      </w:r>
    </w:p>
    <w:p w:rsidR="00094661" w:rsidRPr="00B4111C" w:rsidRDefault="00094661" w:rsidP="00094661">
      <w:r w:rsidRPr="00B4111C">
        <w:t xml:space="preserve">The level of vulnerability of an asset is determined by </w:t>
      </w:r>
      <w:r w:rsidR="000923E3">
        <w:t>assessing</w:t>
      </w:r>
      <w:r w:rsidR="000923E3" w:rsidRPr="00B4111C">
        <w:t xml:space="preserve"> </w:t>
      </w:r>
      <w:r w:rsidRPr="00B4111C">
        <w:t>the threats with the existing countermeasures. If the existing countermeasures are effectively protecting the asset from all threats, vulnerability will be low. If, however, the existing countermeasures are not adequate to prevent or withstand an attack, vulnerability is higher. Vulnerability is measured in terms of the probability of a loss event occurring. Vulnerability values are assigned on a scale of A through D</w:t>
      </w:r>
      <w:r w:rsidR="005B06D3">
        <w:t xml:space="preserve">. The levels of vulnerability </w:t>
      </w:r>
      <w:r w:rsidRPr="00B4111C">
        <w:t xml:space="preserve">are provided below. </w:t>
      </w:r>
    </w:p>
    <w:p w:rsidR="00094661" w:rsidRDefault="00094661" w:rsidP="00094661"/>
    <w:p w:rsidR="00094661" w:rsidRPr="00B4111C" w:rsidRDefault="00E23E83" w:rsidP="00E23E83">
      <w:pPr>
        <w:pStyle w:val="Head2"/>
      </w:pPr>
      <w:r>
        <w:t>Interpret</w:t>
      </w:r>
      <w:r w:rsidR="007F68E3">
        <w:t>ing</w:t>
      </w:r>
      <w:r w:rsidR="00094661" w:rsidRPr="00B4111C">
        <w:t xml:space="preserve"> Probability of Loss </w:t>
      </w:r>
    </w:p>
    <w:p w:rsidR="00094661" w:rsidRPr="00B4111C" w:rsidRDefault="00094661" w:rsidP="00094661">
      <w:r w:rsidRPr="00387DCA">
        <w:rPr>
          <w:b/>
        </w:rPr>
        <w:t>A</w:t>
      </w:r>
      <w:r w:rsidR="00B00FC7" w:rsidRPr="0056240F">
        <w:rPr>
          <w:b/>
        </w:rPr>
        <w:t>—</w:t>
      </w:r>
      <w:r w:rsidRPr="00387DCA">
        <w:rPr>
          <w:b/>
        </w:rPr>
        <w:t>Extremely high</w:t>
      </w:r>
      <w:r w:rsidR="00B00FC7">
        <w:rPr>
          <w:b/>
        </w:rPr>
        <w:t>:</w:t>
      </w:r>
      <w:r w:rsidRPr="00B4111C">
        <w:t xml:space="preserve"> </w:t>
      </w:r>
      <w:r w:rsidR="00B00FC7">
        <w:t>T</w:t>
      </w:r>
      <w:r w:rsidRPr="00B4111C">
        <w:t>he magnitude of the vulnerability is such that if a threat occurs</w:t>
      </w:r>
      <w:r w:rsidR="00B00FC7">
        <w:t>,</w:t>
      </w:r>
      <w:r w:rsidRPr="00B4111C">
        <w:t xml:space="preserve"> there is an extremely high probability that it will be successful in causing a loss event. </w:t>
      </w:r>
    </w:p>
    <w:p w:rsidR="00094661" w:rsidRPr="00B4111C" w:rsidRDefault="00094661" w:rsidP="00094661">
      <w:r w:rsidRPr="00387DCA">
        <w:rPr>
          <w:b/>
        </w:rPr>
        <w:t>B</w:t>
      </w:r>
      <w:r w:rsidR="00B00FC7" w:rsidRPr="0056240F">
        <w:rPr>
          <w:b/>
        </w:rPr>
        <w:t>—</w:t>
      </w:r>
      <w:r w:rsidRPr="00387DCA">
        <w:rPr>
          <w:b/>
        </w:rPr>
        <w:t>High</w:t>
      </w:r>
      <w:r w:rsidR="00B00FC7">
        <w:rPr>
          <w:b/>
        </w:rPr>
        <w:t>:</w:t>
      </w:r>
      <w:r w:rsidRPr="00B4111C">
        <w:t xml:space="preserve"> </w:t>
      </w:r>
      <w:r w:rsidR="00B00FC7">
        <w:t>T</w:t>
      </w:r>
      <w:r w:rsidRPr="00B4111C">
        <w:t>he magnitude of the vulnerability is such that if a threat occurs</w:t>
      </w:r>
      <w:r w:rsidR="00B00FC7">
        <w:t>,</w:t>
      </w:r>
      <w:r w:rsidRPr="00B4111C">
        <w:t xml:space="preserve"> there is a high probability that it will be successful in causing a loss event. </w:t>
      </w:r>
    </w:p>
    <w:p w:rsidR="00094661" w:rsidRPr="00B4111C" w:rsidRDefault="00094661" w:rsidP="00094661">
      <w:r w:rsidRPr="00387DCA">
        <w:rPr>
          <w:b/>
        </w:rPr>
        <w:t>C</w:t>
      </w:r>
      <w:r w:rsidR="00B00FC7" w:rsidRPr="0056240F">
        <w:rPr>
          <w:b/>
        </w:rPr>
        <w:t>—</w:t>
      </w:r>
      <w:r w:rsidRPr="00387DCA">
        <w:rPr>
          <w:b/>
        </w:rPr>
        <w:t>Medium</w:t>
      </w:r>
      <w:r w:rsidR="00B00FC7">
        <w:rPr>
          <w:b/>
        </w:rPr>
        <w:t>:</w:t>
      </w:r>
      <w:r w:rsidRPr="00387DCA">
        <w:rPr>
          <w:b/>
        </w:rPr>
        <w:t xml:space="preserve"> </w:t>
      </w:r>
      <w:r w:rsidR="00B00FC7">
        <w:t>T</w:t>
      </w:r>
      <w:r w:rsidRPr="00B4111C">
        <w:t>he magnitude of the vulnerability is such that if a threat occurs</w:t>
      </w:r>
      <w:r w:rsidR="00B00FC7">
        <w:t>,</w:t>
      </w:r>
      <w:r w:rsidRPr="00B4111C">
        <w:t xml:space="preserve"> there is a medium probability that it will result in a loss event. </w:t>
      </w:r>
    </w:p>
    <w:p w:rsidR="00094661" w:rsidRPr="00B4111C" w:rsidRDefault="00094661" w:rsidP="00094661">
      <w:r w:rsidRPr="00387DCA">
        <w:rPr>
          <w:b/>
        </w:rPr>
        <w:t>D</w:t>
      </w:r>
      <w:r w:rsidR="00B00FC7" w:rsidRPr="0056240F">
        <w:rPr>
          <w:b/>
        </w:rPr>
        <w:t>—</w:t>
      </w:r>
      <w:r w:rsidRPr="00387DCA">
        <w:rPr>
          <w:b/>
        </w:rPr>
        <w:t>Low</w:t>
      </w:r>
      <w:r w:rsidR="00B00FC7">
        <w:rPr>
          <w:b/>
        </w:rPr>
        <w:t>:</w:t>
      </w:r>
      <w:r w:rsidRPr="00B4111C">
        <w:t xml:space="preserve"> </w:t>
      </w:r>
      <w:r w:rsidR="00B00FC7">
        <w:t>T</w:t>
      </w:r>
      <w:r w:rsidRPr="00B4111C">
        <w:t>he magnitude of the vulnerability is such that if a threat occurs</w:t>
      </w:r>
      <w:r w:rsidR="00B00FC7">
        <w:t>,</w:t>
      </w:r>
      <w:r w:rsidRPr="00B4111C">
        <w:t xml:space="preserve"> there is a low probability that it will result in a loss event. </w:t>
      </w:r>
    </w:p>
    <w:p w:rsidR="00094661" w:rsidRDefault="00094661" w:rsidP="00094661"/>
    <w:p w:rsidR="00094661" w:rsidRPr="00B4111C" w:rsidRDefault="00094661" w:rsidP="00094661">
      <w:r>
        <w:t>Combine</w:t>
      </w:r>
      <w:r w:rsidRPr="00B4111C">
        <w:t xml:space="preserve"> the criticality and vulnerability data associated with specific assets in such a way as to indicate the combined severity of impact and the probability of a loss event occurring. The criticality and vulnerability ratings assigned to the major assets are entered in a risk </w:t>
      </w:r>
      <w:r w:rsidR="000923E3">
        <w:t>category chart</w:t>
      </w:r>
      <w:r w:rsidRPr="00B4111C">
        <w:t xml:space="preserve"> to determine the overall risk probability rating as shown below. </w:t>
      </w:r>
    </w:p>
    <w:p w:rsidR="00094661" w:rsidRPr="00B4111C" w:rsidRDefault="00094661" w:rsidP="00094661"/>
    <w:p w:rsidR="00094661" w:rsidRPr="007F68E3" w:rsidRDefault="00094661" w:rsidP="007F68E3">
      <w:pPr>
        <w:jc w:val="center"/>
        <w:rPr>
          <w:b/>
        </w:rPr>
      </w:pPr>
      <w:r w:rsidRPr="007F68E3">
        <w:rPr>
          <w:b/>
        </w:rPr>
        <w:t>Risk Categories</w:t>
      </w:r>
    </w:p>
    <w:tbl>
      <w:tblPr>
        <w:tblStyle w:val="TableGrid"/>
        <w:tblW w:w="0" w:type="auto"/>
        <w:tblInd w:w="108" w:type="dxa"/>
        <w:tblLook w:val="01E0" w:firstRow="1" w:lastRow="1" w:firstColumn="1" w:lastColumn="1" w:noHBand="0" w:noVBand="0"/>
      </w:tblPr>
      <w:tblGrid>
        <w:gridCol w:w="1663"/>
        <w:gridCol w:w="1771"/>
        <w:gridCol w:w="1771"/>
        <w:gridCol w:w="1771"/>
        <w:gridCol w:w="1772"/>
      </w:tblGrid>
      <w:tr w:rsidR="00094661" w:rsidTr="00484CF0">
        <w:tc>
          <w:tcPr>
            <w:tcW w:w="1663" w:type="dxa"/>
          </w:tcPr>
          <w:p w:rsidR="00094661" w:rsidRPr="00E63BF3" w:rsidRDefault="00094661" w:rsidP="00484CF0">
            <w:pPr>
              <w:rPr>
                <w:b/>
              </w:rPr>
            </w:pPr>
            <w:r w:rsidRPr="00E63BF3">
              <w:rPr>
                <w:b/>
              </w:rPr>
              <w:t xml:space="preserve">Asset </w:t>
            </w:r>
          </w:p>
          <w:p w:rsidR="00094661" w:rsidRDefault="00094661" w:rsidP="00484CF0">
            <w:r w:rsidRPr="00E63BF3">
              <w:rPr>
                <w:b/>
              </w:rPr>
              <w:t>Vulnerability</w:t>
            </w:r>
            <w:r>
              <w:rPr>
                <w:b/>
              </w:rPr>
              <w:t xml:space="preserve"> and Criticality</w:t>
            </w:r>
          </w:p>
        </w:tc>
        <w:tc>
          <w:tcPr>
            <w:tcW w:w="1771" w:type="dxa"/>
          </w:tcPr>
          <w:p w:rsidR="00094661" w:rsidRPr="00A54691" w:rsidRDefault="00094661" w:rsidP="00484CF0">
            <w:pPr>
              <w:rPr>
                <w:b/>
              </w:rPr>
            </w:pPr>
            <w:r w:rsidRPr="00A54691">
              <w:rPr>
                <w:b/>
              </w:rPr>
              <w:t>1 Essential</w:t>
            </w:r>
          </w:p>
        </w:tc>
        <w:tc>
          <w:tcPr>
            <w:tcW w:w="1771" w:type="dxa"/>
          </w:tcPr>
          <w:p w:rsidR="00094661" w:rsidRPr="00A54691" w:rsidRDefault="00094661" w:rsidP="00484CF0">
            <w:pPr>
              <w:rPr>
                <w:b/>
              </w:rPr>
            </w:pPr>
            <w:r w:rsidRPr="00A54691">
              <w:rPr>
                <w:b/>
              </w:rPr>
              <w:t>2 Critical</w:t>
            </w:r>
          </w:p>
        </w:tc>
        <w:tc>
          <w:tcPr>
            <w:tcW w:w="1771" w:type="dxa"/>
          </w:tcPr>
          <w:p w:rsidR="00094661" w:rsidRPr="00A54691" w:rsidRDefault="00094661" w:rsidP="00484CF0">
            <w:pPr>
              <w:rPr>
                <w:b/>
              </w:rPr>
            </w:pPr>
            <w:r w:rsidRPr="00A54691">
              <w:rPr>
                <w:b/>
              </w:rPr>
              <w:t>3 Important</w:t>
            </w:r>
          </w:p>
        </w:tc>
        <w:tc>
          <w:tcPr>
            <w:tcW w:w="1772" w:type="dxa"/>
          </w:tcPr>
          <w:p w:rsidR="00094661" w:rsidRPr="00A54691" w:rsidRDefault="00094661" w:rsidP="00484CF0">
            <w:pPr>
              <w:rPr>
                <w:b/>
              </w:rPr>
            </w:pPr>
            <w:r w:rsidRPr="00A54691">
              <w:rPr>
                <w:b/>
              </w:rPr>
              <w:t>4 Not Important</w:t>
            </w:r>
          </w:p>
        </w:tc>
      </w:tr>
      <w:tr w:rsidR="00094661" w:rsidTr="00484CF0">
        <w:tc>
          <w:tcPr>
            <w:tcW w:w="1663" w:type="dxa"/>
          </w:tcPr>
          <w:p w:rsidR="00094661" w:rsidRPr="00B4111C" w:rsidRDefault="00094661" w:rsidP="00484CF0">
            <w:r w:rsidRPr="00B4111C">
              <w:t xml:space="preserve">(A) Extremely High </w:t>
            </w:r>
          </w:p>
        </w:tc>
        <w:tc>
          <w:tcPr>
            <w:tcW w:w="1771" w:type="dxa"/>
          </w:tcPr>
          <w:p w:rsidR="00094661" w:rsidRDefault="00094661" w:rsidP="00484CF0">
            <w:r>
              <w:t>1A</w:t>
            </w:r>
          </w:p>
        </w:tc>
        <w:tc>
          <w:tcPr>
            <w:tcW w:w="1771" w:type="dxa"/>
          </w:tcPr>
          <w:p w:rsidR="00094661" w:rsidRPr="00B4111C" w:rsidRDefault="00094661" w:rsidP="00484CF0">
            <w:r w:rsidRPr="00B4111C">
              <w:t xml:space="preserve">2A </w:t>
            </w:r>
          </w:p>
        </w:tc>
        <w:tc>
          <w:tcPr>
            <w:tcW w:w="1771" w:type="dxa"/>
          </w:tcPr>
          <w:p w:rsidR="00094661" w:rsidRPr="00B4111C" w:rsidRDefault="00094661" w:rsidP="00484CF0">
            <w:r w:rsidRPr="00B4111C">
              <w:t xml:space="preserve">3A </w:t>
            </w:r>
          </w:p>
        </w:tc>
        <w:tc>
          <w:tcPr>
            <w:tcW w:w="1772" w:type="dxa"/>
          </w:tcPr>
          <w:p w:rsidR="00094661" w:rsidRPr="00B4111C" w:rsidRDefault="00094661" w:rsidP="00484CF0">
            <w:r w:rsidRPr="00B4111C">
              <w:t xml:space="preserve">4A </w:t>
            </w:r>
          </w:p>
        </w:tc>
      </w:tr>
      <w:tr w:rsidR="00094661" w:rsidTr="00484CF0">
        <w:tc>
          <w:tcPr>
            <w:tcW w:w="1663" w:type="dxa"/>
          </w:tcPr>
          <w:p w:rsidR="00094661" w:rsidRPr="00B4111C" w:rsidRDefault="00094661" w:rsidP="00484CF0">
            <w:r w:rsidRPr="00B4111C">
              <w:t xml:space="preserve">(B) High </w:t>
            </w:r>
          </w:p>
        </w:tc>
        <w:tc>
          <w:tcPr>
            <w:tcW w:w="1771" w:type="dxa"/>
          </w:tcPr>
          <w:p w:rsidR="00094661" w:rsidRDefault="00094661" w:rsidP="00484CF0">
            <w:r>
              <w:t>1B</w:t>
            </w:r>
          </w:p>
        </w:tc>
        <w:tc>
          <w:tcPr>
            <w:tcW w:w="1771" w:type="dxa"/>
          </w:tcPr>
          <w:p w:rsidR="00094661" w:rsidRPr="00B4111C" w:rsidRDefault="00094661" w:rsidP="00484CF0">
            <w:r w:rsidRPr="00B4111C">
              <w:t xml:space="preserve">2B </w:t>
            </w:r>
          </w:p>
        </w:tc>
        <w:tc>
          <w:tcPr>
            <w:tcW w:w="1771" w:type="dxa"/>
          </w:tcPr>
          <w:p w:rsidR="00094661" w:rsidRPr="00B4111C" w:rsidRDefault="00094661" w:rsidP="00484CF0">
            <w:r w:rsidRPr="00B4111C">
              <w:t xml:space="preserve">3B </w:t>
            </w:r>
          </w:p>
        </w:tc>
        <w:tc>
          <w:tcPr>
            <w:tcW w:w="1772" w:type="dxa"/>
          </w:tcPr>
          <w:p w:rsidR="00094661" w:rsidRPr="00B4111C" w:rsidRDefault="00094661" w:rsidP="00484CF0">
            <w:r w:rsidRPr="00B4111C">
              <w:t xml:space="preserve">4B </w:t>
            </w:r>
          </w:p>
        </w:tc>
      </w:tr>
      <w:tr w:rsidR="00094661" w:rsidTr="00484CF0">
        <w:tc>
          <w:tcPr>
            <w:tcW w:w="1663" w:type="dxa"/>
          </w:tcPr>
          <w:p w:rsidR="00094661" w:rsidRPr="00B4111C" w:rsidRDefault="00094661" w:rsidP="00484CF0">
            <w:r w:rsidRPr="00B4111C">
              <w:t xml:space="preserve">(C) Medium </w:t>
            </w:r>
          </w:p>
        </w:tc>
        <w:tc>
          <w:tcPr>
            <w:tcW w:w="1771" w:type="dxa"/>
          </w:tcPr>
          <w:p w:rsidR="00094661" w:rsidRDefault="00094661" w:rsidP="00484CF0">
            <w:r>
              <w:t>1C</w:t>
            </w:r>
          </w:p>
        </w:tc>
        <w:tc>
          <w:tcPr>
            <w:tcW w:w="1771" w:type="dxa"/>
          </w:tcPr>
          <w:p w:rsidR="00094661" w:rsidRPr="00B4111C" w:rsidRDefault="00094661" w:rsidP="00484CF0">
            <w:r w:rsidRPr="00B4111C">
              <w:t xml:space="preserve">2C </w:t>
            </w:r>
          </w:p>
        </w:tc>
        <w:tc>
          <w:tcPr>
            <w:tcW w:w="1771" w:type="dxa"/>
          </w:tcPr>
          <w:p w:rsidR="00094661" w:rsidRPr="00B4111C" w:rsidRDefault="00094661" w:rsidP="00484CF0">
            <w:r w:rsidRPr="00B4111C">
              <w:t xml:space="preserve">3C </w:t>
            </w:r>
          </w:p>
        </w:tc>
        <w:tc>
          <w:tcPr>
            <w:tcW w:w="1772" w:type="dxa"/>
          </w:tcPr>
          <w:p w:rsidR="00094661" w:rsidRPr="00B4111C" w:rsidRDefault="00094661" w:rsidP="00484CF0">
            <w:r w:rsidRPr="00B4111C">
              <w:t xml:space="preserve">4C </w:t>
            </w:r>
          </w:p>
        </w:tc>
      </w:tr>
      <w:tr w:rsidR="00094661" w:rsidTr="00484CF0">
        <w:tc>
          <w:tcPr>
            <w:tcW w:w="1663" w:type="dxa"/>
          </w:tcPr>
          <w:p w:rsidR="00094661" w:rsidRPr="00B4111C" w:rsidRDefault="00094661" w:rsidP="00484CF0">
            <w:r w:rsidRPr="00B4111C">
              <w:t xml:space="preserve">(D) Low </w:t>
            </w:r>
          </w:p>
        </w:tc>
        <w:tc>
          <w:tcPr>
            <w:tcW w:w="1771" w:type="dxa"/>
          </w:tcPr>
          <w:p w:rsidR="00094661" w:rsidRDefault="00094661" w:rsidP="00484CF0">
            <w:r>
              <w:t>1D</w:t>
            </w:r>
          </w:p>
        </w:tc>
        <w:tc>
          <w:tcPr>
            <w:tcW w:w="1771" w:type="dxa"/>
          </w:tcPr>
          <w:p w:rsidR="00094661" w:rsidRPr="00B4111C" w:rsidRDefault="00094661" w:rsidP="00484CF0">
            <w:r w:rsidRPr="00B4111C">
              <w:t xml:space="preserve">2D </w:t>
            </w:r>
          </w:p>
        </w:tc>
        <w:tc>
          <w:tcPr>
            <w:tcW w:w="1771" w:type="dxa"/>
          </w:tcPr>
          <w:p w:rsidR="00094661" w:rsidRPr="00B4111C" w:rsidRDefault="00094661" w:rsidP="00484CF0">
            <w:r w:rsidRPr="00B4111C">
              <w:t xml:space="preserve">3D </w:t>
            </w:r>
          </w:p>
        </w:tc>
        <w:tc>
          <w:tcPr>
            <w:tcW w:w="1772" w:type="dxa"/>
          </w:tcPr>
          <w:p w:rsidR="00094661" w:rsidRPr="00B4111C" w:rsidRDefault="00094661" w:rsidP="00484CF0">
            <w:r w:rsidRPr="00B4111C">
              <w:t xml:space="preserve">4D </w:t>
            </w:r>
          </w:p>
        </w:tc>
      </w:tr>
    </w:tbl>
    <w:p w:rsidR="00094661" w:rsidRDefault="00094661" w:rsidP="00094661"/>
    <w:p w:rsidR="00094661" w:rsidRPr="00B4111C" w:rsidRDefault="00016114" w:rsidP="00094661">
      <w:r>
        <w:t xml:space="preserve">The risk assessment chart allows an employer to identify the most likely security risks with the highest potential severity in order to prioritize resources for security upgrades. </w:t>
      </w:r>
      <w:r w:rsidR="00094661" w:rsidRPr="00B4111C">
        <w:t xml:space="preserve">This table indicates how the risk categories may be interpreted. </w:t>
      </w:r>
    </w:p>
    <w:p w:rsidR="00094661" w:rsidRPr="00B4111C" w:rsidRDefault="00094661" w:rsidP="00094661"/>
    <w:p w:rsidR="00094661" w:rsidRPr="007F68E3" w:rsidRDefault="008E4ABE" w:rsidP="007F68E3">
      <w:pPr>
        <w:jc w:val="center"/>
        <w:rPr>
          <w:b/>
        </w:rPr>
      </w:pPr>
      <w:r>
        <w:rPr>
          <w:b/>
        </w:rPr>
        <w:br w:type="page"/>
      </w:r>
      <w:r w:rsidR="00094661" w:rsidRPr="007F68E3">
        <w:rPr>
          <w:b/>
        </w:rPr>
        <w:lastRenderedPageBreak/>
        <w:t>Risk Matrix Management Guide</w:t>
      </w:r>
    </w:p>
    <w:tbl>
      <w:tblPr>
        <w:tblStyle w:val="TableGrid"/>
        <w:tblW w:w="0" w:type="auto"/>
        <w:tblInd w:w="108" w:type="dxa"/>
        <w:tblLook w:val="01E0" w:firstRow="1" w:lastRow="1" w:firstColumn="1" w:lastColumn="1" w:noHBand="0" w:noVBand="0"/>
      </w:tblPr>
      <w:tblGrid>
        <w:gridCol w:w="3360"/>
        <w:gridCol w:w="5388"/>
      </w:tblGrid>
      <w:tr w:rsidR="00094661" w:rsidTr="00484CF0">
        <w:tc>
          <w:tcPr>
            <w:tcW w:w="3360" w:type="dxa"/>
          </w:tcPr>
          <w:p w:rsidR="00094661" w:rsidRPr="004F025C" w:rsidRDefault="00094661" w:rsidP="00484CF0">
            <w:pPr>
              <w:rPr>
                <w:b/>
              </w:rPr>
            </w:pPr>
            <w:r w:rsidRPr="004F025C">
              <w:rPr>
                <w:b/>
              </w:rPr>
              <w:t>Asset Risk Category</w:t>
            </w:r>
          </w:p>
        </w:tc>
        <w:tc>
          <w:tcPr>
            <w:tcW w:w="5388" w:type="dxa"/>
          </w:tcPr>
          <w:p w:rsidR="00094661" w:rsidRPr="004F025C" w:rsidRDefault="00094661" w:rsidP="00484CF0">
            <w:pPr>
              <w:rPr>
                <w:b/>
              </w:rPr>
            </w:pPr>
            <w:r w:rsidRPr="004F025C">
              <w:rPr>
                <w:b/>
              </w:rPr>
              <w:t>Interpretation</w:t>
            </w:r>
          </w:p>
        </w:tc>
      </w:tr>
      <w:tr w:rsidR="00094661" w:rsidTr="00484CF0">
        <w:tc>
          <w:tcPr>
            <w:tcW w:w="3360" w:type="dxa"/>
          </w:tcPr>
          <w:p w:rsidR="00094661" w:rsidRPr="004F025C" w:rsidRDefault="00094661" w:rsidP="00484CF0">
            <w:pPr>
              <w:rPr>
                <w:b/>
              </w:rPr>
            </w:pPr>
            <w:r w:rsidRPr="004F025C">
              <w:rPr>
                <w:b/>
              </w:rPr>
              <w:t>1A 1B 1C 2A 2B 3A</w:t>
            </w:r>
          </w:p>
        </w:tc>
        <w:tc>
          <w:tcPr>
            <w:tcW w:w="5388" w:type="dxa"/>
          </w:tcPr>
          <w:p w:rsidR="00094661" w:rsidRPr="004F025C" w:rsidRDefault="00094661" w:rsidP="00484CF0">
            <w:pPr>
              <w:rPr>
                <w:b/>
              </w:rPr>
            </w:pPr>
            <w:r w:rsidRPr="004F025C">
              <w:rPr>
                <w:b/>
              </w:rPr>
              <w:t>These risks are very high and it is recommended that measures be taken to eliminate them.</w:t>
            </w:r>
          </w:p>
        </w:tc>
      </w:tr>
      <w:tr w:rsidR="00094661" w:rsidTr="00484CF0">
        <w:tc>
          <w:tcPr>
            <w:tcW w:w="3360" w:type="dxa"/>
          </w:tcPr>
          <w:p w:rsidR="00094661" w:rsidRDefault="00094661" w:rsidP="00484CF0">
            <w:r w:rsidRPr="00B4111C">
              <w:t>1D 2C 2D 3B 3C</w:t>
            </w:r>
          </w:p>
        </w:tc>
        <w:tc>
          <w:tcPr>
            <w:tcW w:w="5388" w:type="dxa"/>
          </w:tcPr>
          <w:p w:rsidR="00094661" w:rsidRPr="00B4111C" w:rsidRDefault="00094661" w:rsidP="00484CF0">
            <w:r w:rsidRPr="00B4111C">
              <w:t xml:space="preserve">These risks are moderate. </w:t>
            </w:r>
            <w:r>
              <w:t>Management may determine to address these risks.</w:t>
            </w:r>
          </w:p>
        </w:tc>
      </w:tr>
      <w:tr w:rsidR="00094661" w:rsidTr="00484CF0">
        <w:tc>
          <w:tcPr>
            <w:tcW w:w="3360" w:type="dxa"/>
          </w:tcPr>
          <w:p w:rsidR="00094661" w:rsidRPr="00B4111C" w:rsidRDefault="00094661" w:rsidP="00484CF0">
            <w:r w:rsidRPr="00B4111C">
              <w:t>3D 4A 4B 4C 4D</w:t>
            </w:r>
          </w:p>
        </w:tc>
        <w:tc>
          <w:tcPr>
            <w:tcW w:w="5388" w:type="dxa"/>
          </w:tcPr>
          <w:p w:rsidR="00094661" w:rsidRPr="00B4111C" w:rsidRDefault="00094661" w:rsidP="00484CF0">
            <w:r w:rsidRPr="00B4111C">
              <w:t>These risks are low.</w:t>
            </w:r>
          </w:p>
        </w:tc>
      </w:tr>
    </w:tbl>
    <w:p w:rsidR="00094661" w:rsidRDefault="00094661" w:rsidP="00094661"/>
    <w:p w:rsidR="007F68E3" w:rsidRDefault="007F68E3" w:rsidP="007F68E3">
      <w:pPr>
        <w:pStyle w:val="Head2"/>
      </w:pPr>
      <w:r>
        <w:t>Security Recommendations</w:t>
      </w:r>
    </w:p>
    <w:p w:rsidR="00094661" w:rsidRPr="00B4111C" w:rsidRDefault="00094661" w:rsidP="00094661">
      <w:r w:rsidRPr="00B4111C">
        <w:t>Once the level of risk is determined for each asset, recommendations for security upgrades are made, if warranted. The first goal of the upgrades is to reduce the level of risk to those assets that are in the very high category to the greatest degree practica</w:t>
      </w:r>
      <w:r w:rsidR="00A54691">
        <w:t>b</w:t>
      </w:r>
      <w:r w:rsidRPr="00B4111C">
        <w:t>l</w:t>
      </w:r>
      <w:r w:rsidR="00A54691">
        <w:t>e</w:t>
      </w:r>
      <w:r w:rsidRPr="00B4111C">
        <w:t xml:space="preserve">. </w:t>
      </w:r>
    </w:p>
    <w:p w:rsidR="005B06D3" w:rsidRDefault="005B06D3" w:rsidP="00094661"/>
    <w:p w:rsidR="00094661" w:rsidRDefault="00094661" w:rsidP="00094661">
      <w:r w:rsidRPr="00B4111C">
        <w:t>A secondary goal is to reduce the level of risk to the assets in</w:t>
      </w:r>
      <w:r w:rsidR="005B06D3">
        <w:t xml:space="preserve"> the moderate category </w:t>
      </w:r>
      <w:r w:rsidRPr="00B4111C">
        <w:t>to the greatest degree practica</w:t>
      </w:r>
      <w:r w:rsidR="00A54691">
        <w:t>b</w:t>
      </w:r>
      <w:r w:rsidRPr="00B4111C">
        <w:t>l</w:t>
      </w:r>
      <w:r w:rsidR="00A54691">
        <w:t>e</w:t>
      </w:r>
      <w:r w:rsidRPr="00B4111C">
        <w:t xml:space="preserve">. If there are constraints that preclude the immediate or </w:t>
      </w:r>
      <w:r w:rsidR="00A54691">
        <w:t>near-</w:t>
      </w:r>
      <w:r w:rsidRPr="00B4111C">
        <w:t>term reduction of risks, recommendations should include planning and budgeting to</w:t>
      </w:r>
      <w:r>
        <w:t xml:space="preserve"> accomplish this in the future.</w:t>
      </w:r>
    </w:p>
    <w:p w:rsidR="000923E3" w:rsidRDefault="000923E3" w:rsidP="00094661"/>
    <w:p w:rsidR="000923E3" w:rsidRPr="000923E3" w:rsidRDefault="000923E3" w:rsidP="000923E3">
      <w:r w:rsidRPr="000923E3">
        <w:t>When deciding which recommendations or countermeasures to use, the safety and security stakeholders for the organization need to discuss:</w:t>
      </w:r>
    </w:p>
    <w:p w:rsidR="000923E3" w:rsidRPr="000923E3" w:rsidRDefault="000923E3" w:rsidP="000923E3"/>
    <w:p w:rsidR="000923E3" w:rsidRPr="000923E3" w:rsidRDefault="000923E3" w:rsidP="000923E3">
      <w:pPr>
        <w:numPr>
          <w:ilvl w:val="0"/>
          <w:numId w:val="49"/>
        </w:numPr>
      </w:pPr>
      <w:r>
        <w:t>T</w:t>
      </w:r>
      <w:r w:rsidRPr="000923E3">
        <w:t xml:space="preserve">heir immediate versus long-term needs; </w:t>
      </w:r>
    </w:p>
    <w:p w:rsidR="000923E3" w:rsidRPr="000923E3" w:rsidRDefault="000923E3" w:rsidP="000923E3">
      <w:pPr>
        <w:numPr>
          <w:ilvl w:val="0"/>
          <w:numId w:val="49"/>
        </w:numPr>
      </w:pPr>
      <w:r>
        <w:t>T</w:t>
      </w:r>
      <w:r w:rsidRPr="000923E3">
        <w:t xml:space="preserve">he feasibility of the addition or installation; </w:t>
      </w:r>
    </w:p>
    <w:p w:rsidR="000923E3" w:rsidRPr="000923E3" w:rsidRDefault="000923E3" w:rsidP="000923E3">
      <w:pPr>
        <w:numPr>
          <w:ilvl w:val="0"/>
          <w:numId w:val="49"/>
        </w:numPr>
      </w:pPr>
      <w:r>
        <w:t>T</w:t>
      </w:r>
      <w:r w:rsidRPr="000923E3">
        <w:t>he budget, including short</w:t>
      </w:r>
      <w:r w:rsidR="007A593F">
        <w:t>-</w:t>
      </w:r>
      <w:r w:rsidRPr="000923E3">
        <w:t xml:space="preserve"> and long-term costs of the options; </w:t>
      </w:r>
      <w:r>
        <w:rPr>
          <w:i/>
        </w:rPr>
        <w:t>and</w:t>
      </w:r>
    </w:p>
    <w:p w:rsidR="000923E3" w:rsidRDefault="000923E3" w:rsidP="000923E3">
      <w:pPr>
        <w:numPr>
          <w:ilvl w:val="0"/>
          <w:numId w:val="49"/>
        </w:numPr>
      </w:pPr>
      <w:r>
        <w:t>H</w:t>
      </w:r>
      <w:r w:rsidRPr="000923E3">
        <w:t>ow these will fit into the organizational climate and employee culture.</w:t>
      </w:r>
    </w:p>
    <w:p w:rsidR="00094661" w:rsidRPr="004F025C" w:rsidRDefault="00094661" w:rsidP="00094661">
      <w:pPr>
        <w:rPr>
          <w:b/>
        </w:rPr>
      </w:pPr>
    </w:p>
    <w:tbl>
      <w:tblPr>
        <w:tblStyle w:val="TableGrid"/>
        <w:tblW w:w="0" w:type="auto"/>
        <w:tblInd w:w="108" w:type="dxa"/>
        <w:tblLook w:val="01E0" w:firstRow="1" w:lastRow="1" w:firstColumn="1" w:lastColumn="1" w:noHBand="0" w:noVBand="0"/>
      </w:tblPr>
      <w:tblGrid>
        <w:gridCol w:w="4320"/>
        <w:gridCol w:w="4428"/>
      </w:tblGrid>
      <w:tr w:rsidR="00094661" w:rsidRPr="004F025C" w:rsidTr="00484CF0">
        <w:tc>
          <w:tcPr>
            <w:tcW w:w="4320" w:type="dxa"/>
          </w:tcPr>
          <w:p w:rsidR="00094661" w:rsidRPr="004F025C" w:rsidRDefault="00094661" w:rsidP="00484CF0">
            <w:pPr>
              <w:rPr>
                <w:b/>
              </w:rPr>
            </w:pPr>
            <w:r w:rsidRPr="004F025C">
              <w:rPr>
                <w:b/>
              </w:rPr>
              <w:t>Risk Category</w:t>
            </w:r>
          </w:p>
        </w:tc>
        <w:tc>
          <w:tcPr>
            <w:tcW w:w="4428" w:type="dxa"/>
          </w:tcPr>
          <w:p w:rsidR="00094661" w:rsidRPr="004F025C" w:rsidRDefault="00094661" w:rsidP="00484CF0">
            <w:pPr>
              <w:rPr>
                <w:b/>
              </w:rPr>
            </w:pPr>
            <w:r w:rsidRPr="004F025C">
              <w:rPr>
                <w:b/>
              </w:rPr>
              <w:t>Priority</w:t>
            </w:r>
          </w:p>
        </w:tc>
      </w:tr>
      <w:tr w:rsidR="00094661" w:rsidTr="00484CF0">
        <w:tc>
          <w:tcPr>
            <w:tcW w:w="4320" w:type="dxa"/>
          </w:tcPr>
          <w:p w:rsidR="00094661" w:rsidRDefault="008E4ABE" w:rsidP="008E4ABE">
            <w:pPr>
              <w:pStyle w:val="Instructions"/>
            </w:pPr>
            <w:r>
              <w:t>[Insert text]</w:t>
            </w:r>
          </w:p>
          <w:p w:rsidR="0075172F" w:rsidRPr="0075172F" w:rsidRDefault="0075172F" w:rsidP="0075172F"/>
        </w:tc>
        <w:tc>
          <w:tcPr>
            <w:tcW w:w="4428" w:type="dxa"/>
          </w:tcPr>
          <w:p w:rsidR="00094661" w:rsidRDefault="00094661" w:rsidP="00484CF0"/>
        </w:tc>
      </w:tr>
      <w:tr w:rsidR="00094661" w:rsidTr="00484CF0">
        <w:tc>
          <w:tcPr>
            <w:tcW w:w="4320" w:type="dxa"/>
          </w:tcPr>
          <w:p w:rsidR="00094661" w:rsidRDefault="00094661" w:rsidP="00484CF0"/>
          <w:p w:rsidR="0075172F" w:rsidRDefault="0075172F" w:rsidP="00484CF0"/>
        </w:tc>
        <w:tc>
          <w:tcPr>
            <w:tcW w:w="4428" w:type="dxa"/>
          </w:tcPr>
          <w:p w:rsidR="00094661" w:rsidRDefault="00094661" w:rsidP="00484CF0"/>
        </w:tc>
      </w:tr>
      <w:tr w:rsidR="00094661" w:rsidTr="00484CF0">
        <w:tc>
          <w:tcPr>
            <w:tcW w:w="4320" w:type="dxa"/>
          </w:tcPr>
          <w:p w:rsidR="00094661" w:rsidRDefault="00094661" w:rsidP="00484CF0"/>
          <w:p w:rsidR="0075172F" w:rsidRDefault="0075172F" w:rsidP="00484CF0"/>
        </w:tc>
        <w:tc>
          <w:tcPr>
            <w:tcW w:w="4428" w:type="dxa"/>
          </w:tcPr>
          <w:p w:rsidR="00094661" w:rsidRDefault="00094661" w:rsidP="00484CF0"/>
        </w:tc>
      </w:tr>
      <w:tr w:rsidR="00094661" w:rsidTr="00484CF0">
        <w:tc>
          <w:tcPr>
            <w:tcW w:w="4320" w:type="dxa"/>
          </w:tcPr>
          <w:p w:rsidR="00094661" w:rsidRDefault="00094661" w:rsidP="00484CF0"/>
          <w:p w:rsidR="0075172F" w:rsidRDefault="0075172F" w:rsidP="00484CF0"/>
        </w:tc>
        <w:tc>
          <w:tcPr>
            <w:tcW w:w="4428" w:type="dxa"/>
          </w:tcPr>
          <w:p w:rsidR="00094661" w:rsidRDefault="00094661" w:rsidP="00484CF0"/>
        </w:tc>
      </w:tr>
    </w:tbl>
    <w:p w:rsidR="00E60E22" w:rsidRPr="00ED7196" w:rsidRDefault="00E60E22" w:rsidP="00E60E22">
      <w:pPr>
        <w:pStyle w:val="Head1"/>
      </w:pPr>
    </w:p>
    <w:sectPr w:rsidR="00E60E22" w:rsidRPr="00ED7196" w:rsidSect="00C2412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2A1" w:rsidRDefault="000012A1">
      <w:r>
        <w:separator/>
      </w:r>
    </w:p>
  </w:endnote>
  <w:endnote w:type="continuationSeparator" w:id="0">
    <w:p w:rsidR="000012A1" w:rsidRDefault="0000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2A1" w:rsidRDefault="000012A1">
      <w:r>
        <w:separator/>
      </w:r>
    </w:p>
  </w:footnote>
  <w:footnote w:type="continuationSeparator" w:id="0">
    <w:p w:rsidR="000012A1" w:rsidRDefault="000012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894EE874"/>
    <w:lvl w:ilvl="0">
      <w:start w:val="1"/>
      <w:numFmt w:val="bullet"/>
      <w:lvlText w:val="•"/>
      <w:lvlJc w:val="left"/>
      <w:pPr>
        <w:tabs>
          <w:tab w:val="num" w:pos="180"/>
        </w:tabs>
        <w:ind w:left="18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0000003"/>
    <w:multiLevelType w:val="multilevel"/>
    <w:tmpl w:val="894EE875"/>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9F7276"/>
    <w:multiLevelType w:val="hybridMultilevel"/>
    <w:tmpl w:val="EC68FB8E"/>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C3713"/>
    <w:multiLevelType w:val="hybridMultilevel"/>
    <w:tmpl w:val="1F9C2824"/>
    <w:lvl w:ilvl="0" w:tplc="E174B2C2">
      <w:start w:val="1"/>
      <w:numFmt w:val="bullet"/>
      <w:lvlText w:val="­"/>
      <w:lvlJc w:val="left"/>
      <w:pPr>
        <w:tabs>
          <w:tab w:val="num" w:pos="144"/>
        </w:tabs>
        <w:ind w:left="288" w:hanging="288"/>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4554FE3"/>
    <w:multiLevelType w:val="hybridMultilevel"/>
    <w:tmpl w:val="1302A98A"/>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45146D"/>
    <w:multiLevelType w:val="hybridMultilevel"/>
    <w:tmpl w:val="5B683E0A"/>
    <w:lvl w:ilvl="0" w:tplc="0409000F">
      <w:start w:val="1"/>
      <w:numFmt w:val="decimal"/>
      <w:lvlText w:val="%1."/>
      <w:lvlJc w:val="left"/>
      <w:pPr>
        <w:tabs>
          <w:tab w:val="num" w:pos="360"/>
        </w:tabs>
        <w:ind w:left="360" w:hanging="360"/>
      </w:pPr>
      <w:rPr>
        <w:rFonts w:cs="Times New Roman"/>
      </w:rPr>
    </w:lvl>
    <w:lvl w:ilvl="1" w:tplc="6FBAC3C6">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0BC94A21"/>
    <w:multiLevelType w:val="hybridMultilevel"/>
    <w:tmpl w:val="3A9E2444"/>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E17339"/>
    <w:multiLevelType w:val="hybridMultilevel"/>
    <w:tmpl w:val="454A85D6"/>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6D34FE"/>
    <w:multiLevelType w:val="hybridMultilevel"/>
    <w:tmpl w:val="611E4E38"/>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97656"/>
    <w:multiLevelType w:val="hybridMultilevel"/>
    <w:tmpl w:val="4BB86786"/>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C7682E"/>
    <w:multiLevelType w:val="hybridMultilevel"/>
    <w:tmpl w:val="E4E49B00"/>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7EF6BD4"/>
    <w:multiLevelType w:val="hybridMultilevel"/>
    <w:tmpl w:val="EF1CBA48"/>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4E283F"/>
    <w:multiLevelType w:val="hybridMultilevel"/>
    <w:tmpl w:val="B8F89D5C"/>
    <w:lvl w:ilvl="0" w:tplc="0409000F">
      <w:start w:val="1"/>
      <w:numFmt w:val="decimal"/>
      <w:lvlText w:val="%1."/>
      <w:lvlJc w:val="left"/>
      <w:pPr>
        <w:tabs>
          <w:tab w:val="num" w:pos="360"/>
        </w:tabs>
        <w:ind w:left="360" w:hanging="360"/>
      </w:pPr>
      <w:rPr>
        <w:rFonts w:cs="Times New Roman" w:hint="default"/>
        <w:color w:val="auto"/>
      </w:rPr>
    </w:lvl>
    <w:lvl w:ilvl="1" w:tplc="6FBAC3C6">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8A940CF"/>
    <w:multiLevelType w:val="hybridMultilevel"/>
    <w:tmpl w:val="32BCA376"/>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811BFA"/>
    <w:multiLevelType w:val="hybridMultilevel"/>
    <w:tmpl w:val="E2A0BD42"/>
    <w:lvl w:ilvl="0" w:tplc="6FBAC3C6">
      <w:start w:val="1"/>
      <w:numFmt w:val="bullet"/>
      <w:lvlText w:val=""/>
      <w:lvlJc w:val="left"/>
      <w:pPr>
        <w:tabs>
          <w:tab w:val="num" w:pos="360"/>
        </w:tabs>
        <w:ind w:left="360" w:hanging="360"/>
      </w:pPr>
      <w:rPr>
        <w:rFonts w:ascii="Symbol" w:hAnsi="Symbol" w:hint="default"/>
        <w:color w:val="auto"/>
      </w:rPr>
    </w:lvl>
    <w:lvl w:ilvl="1" w:tplc="6FBAC3C6">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20DD0890"/>
    <w:multiLevelType w:val="hybridMultilevel"/>
    <w:tmpl w:val="722A59A0"/>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293F68"/>
    <w:multiLevelType w:val="hybridMultilevel"/>
    <w:tmpl w:val="5A8C1F9A"/>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A40BFB"/>
    <w:multiLevelType w:val="hybridMultilevel"/>
    <w:tmpl w:val="863AE516"/>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7649A0"/>
    <w:multiLevelType w:val="hybridMultilevel"/>
    <w:tmpl w:val="6576CFBC"/>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7E255D"/>
    <w:multiLevelType w:val="hybridMultilevel"/>
    <w:tmpl w:val="19624BB4"/>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CC1E60"/>
    <w:multiLevelType w:val="hybridMultilevel"/>
    <w:tmpl w:val="093E04AC"/>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7A29AE"/>
    <w:multiLevelType w:val="hybridMultilevel"/>
    <w:tmpl w:val="63B8EC7E"/>
    <w:lvl w:ilvl="0" w:tplc="6FBAC3C6">
      <w:start w:val="1"/>
      <w:numFmt w:val="bullet"/>
      <w:lvlText w:val=""/>
      <w:lvlJc w:val="left"/>
      <w:pPr>
        <w:tabs>
          <w:tab w:val="num" w:pos="360"/>
        </w:tabs>
        <w:ind w:left="360" w:hanging="360"/>
      </w:pPr>
      <w:rPr>
        <w:rFonts w:ascii="Symbol" w:hAnsi="Symbol" w:hint="default"/>
        <w:color w:val="auto"/>
      </w:rPr>
    </w:lvl>
    <w:lvl w:ilvl="1" w:tplc="6FBAC3C6">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01E2270"/>
    <w:multiLevelType w:val="hybridMultilevel"/>
    <w:tmpl w:val="C62E88BE"/>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BC0375"/>
    <w:multiLevelType w:val="hybridMultilevel"/>
    <w:tmpl w:val="8B52408C"/>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C82158"/>
    <w:multiLevelType w:val="hybridMultilevel"/>
    <w:tmpl w:val="E2EE6334"/>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D76D07"/>
    <w:multiLevelType w:val="hybridMultilevel"/>
    <w:tmpl w:val="06A68A26"/>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E83E77"/>
    <w:multiLevelType w:val="hybridMultilevel"/>
    <w:tmpl w:val="5DB084A4"/>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445DFA"/>
    <w:multiLevelType w:val="hybridMultilevel"/>
    <w:tmpl w:val="F57416DC"/>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35425A"/>
    <w:multiLevelType w:val="hybridMultilevel"/>
    <w:tmpl w:val="68E47AC6"/>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E3669C"/>
    <w:multiLevelType w:val="hybridMultilevel"/>
    <w:tmpl w:val="6D40B460"/>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821437"/>
    <w:multiLevelType w:val="hybridMultilevel"/>
    <w:tmpl w:val="86F85FD6"/>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0A07E2"/>
    <w:multiLevelType w:val="hybridMultilevel"/>
    <w:tmpl w:val="210C24DA"/>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2E467B"/>
    <w:multiLevelType w:val="hybridMultilevel"/>
    <w:tmpl w:val="3D58A478"/>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E635FC"/>
    <w:multiLevelType w:val="hybridMultilevel"/>
    <w:tmpl w:val="74DEDEF8"/>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2747CD"/>
    <w:multiLevelType w:val="hybridMultilevel"/>
    <w:tmpl w:val="77AED440"/>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4E74C20"/>
    <w:multiLevelType w:val="hybridMultilevel"/>
    <w:tmpl w:val="6B7037DC"/>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4EE490C"/>
    <w:multiLevelType w:val="hybridMultilevel"/>
    <w:tmpl w:val="054222C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64F84774"/>
    <w:multiLevelType w:val="multilevel"/>
    <w:tmpl w:val="1F9C2824"/>
    <w:lvl w:ilvl="0">
      <w:start w:val="1"/>
      <w:numFmt w:val="bullet"/>
      <w:lvlText w:val="­"/>
      <w:lvlJc w:val="left"/>
      <w:pPr>
        <w:tabs>
          <w:tab w:val="num" w:pos="144"/>
        </w:tabs>
        <w:ind w:left="288" w:hanging="288"/>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8066F4A"/>
    <w:multiLevelType w:val="hybridMultilevel"/>
    <w:tmpl w:val="8D50A844"/>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751449"/>
    <w:multiLevelType w:val="hybridMultilevel"/>
    <w:tmpl w:val="CB02A564"/>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EB33D5"/>
    <w:multiLevelType w:val="hybridMultilevel"/>
    <w:tmpl w:val="78864B5C"/>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B270D56"/>
    <w:multiLevelType w:val="hybridMultilevel"/>
    <w:tmpl w:val="D1566F60"/>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321B87"/>
    <w:multiLevelType w:val="hybridMultilevel"/>
    <w:tmpl w:val="6ADE29D4"/>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322E86"/>
    <w:multiLevelType w:val="hybridMultilevel"/>
    <w:tmpl w:val="32FA1188"/>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750CCC"/>
    <w:multiLevelType w:val="hybridMultilevel"/>
    <w:tmpl w:val="2CE83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E70D04"/>
    <w:multiLevelType w:val="hybridMultilevel"/>
    <w:tmpl w:val="08D42424"/>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5E76B58"/>
    <w:multiLevelType w:val="hybridMultilevel"/>
    <w:tmpl w:val="9FBEA822"/>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7FE118F"/>
    <w:multiLevelType w:val="hybridMultilevel"/>
    <w:tmpl w:val="7C02B9F2"/>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DB2F45"/>
    <w:multiLevelType w:val="hybridMultilevel"/>
    <w:tmpl w:val="FAF40ADE"/>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9"/>
  </w:num>
  <w:num w:numId="3">
    <w:abstractNumId w:val="7"/>
  </w:num>
  <w:num w:numId="4">
    <w:abstractNumId w:val="12"/>
  </w:num>
  <w:num w:numId="5">
    <w:abstractNumId w:val="21"/>
  </w:num>
  <w:num w:numId="6">
    <w:abstractNumId w:val="10"/>
  </w:num>
  <w:num w:numId="7">
    <w:abstractNumId w:val="17"/>
  </w:num>
  <w:num w:numId="8">
    <w:abstractNumId w:val="30"/>
  </w:num>
  <w:num w:numId="9">
    <w:abstractNumId w:val="11"/>
  </w:num>
  <w:num w:numId="10">
    <w:abstractNumId w:val="32"/>
  </w:num>
  <w:num w:numId="11">
    <w:abstractNumId w:val="40"/>
  </w:num>
  <w:num w:numId="12">
    <w:abstractNumId w:val="27"/>
  </w:num>
  <w:num w:numId="13">
    <w:abstractNumId w:val="23"/>
  </w:num>
  <w:num w:numId="14">
    <w:abstractNumId w:val="33"/>
  </w:num>
  <w:num w:numId="15">
    <w:abstractNumId w:val="38"/>
  </w:num>
  <w:num w:numId="16">
    <w:abstractNumId w:val="31"/>
  </w:num>
  <w:num w:numId="17">
    <w:abstractNumId w:val="45"/>
  </w:num>
  <w:num w:numId="18">
    <w:abstractNumId w:val="18"/>
  </w:num>
  <w:num w:numId="19">
    <w:abstractNumId w:val="28"/>
  </w:num>
  <w:num w:numId="20">
    <w:abstractNumId w:val="5"/>
  </w:num>
  <w:num w:numId="21">
    <w:abstractNumId w:val="14"/>
  </w:num>
  <w:num w:numId="22">
    <w:abstractNumId w:val="26"/>
  </w:num>
  <w:num w:numId="23">
    <w:abstractNumId w:val="19"/>
  </w:num>
  <w:num w:numId="24">
    <w:abstractNumId w:val="39"/>
  </w:num>
  <w:num w:numId="25">
    <w:abstractNumId w:val="15"/>
  </w:num>
  <w:num w:numId="26">
    <w:abstractNumId w:val="42"/>
  </w:num>
  <w:num w:numId="27">
    <w:abstractNumId w:val="43"/>
  </w:num>
  <w:num w:numId="28">
    <w:abstractNumId w:val="4"/>
  </w:num>
  <w:num w:numId="29">
    <w:abstractNumId w:val="29"/>
  </w:num>
  <w:num w:numId="30">
    <w:abstractNumId w:val="36"/>
  </w:num>
  <w:num w:numId="31">
    <w:abstractNumId w:val="34"/>
  </w:num>
  <w:num w:numId="32">
    <w:abstractNumId w:val="25"/>
  </w:num>
  <w:num w:numId="33">
    <w:abstractNumId w:val="2"/>
  </w:num>
  <w:num w:numId="34">
    <w:abstractNumId w:val="22"/>
  </w:num>
  <w:num w:numId="35">
    <w:abstractNumId w:val="24"/>
  </w:num>
  <w:num w:numId="36">
    <w:abstractNumId w:val="8"/>
  </w:num>
  <w:num w:numId="37">
    <w:abstractNumId w:val="47"/>
  </w:num>
  <w:num w:numId="38">
    <w:abstractNumId w:val="6"/>
  </w:num>
  <w:num w:numId="39">
    <w:abstractNumId w:val="13"/>
  </w:num>
  <w:num w:numId="40">
    <w:abstractNumId w:val="48"/>
  </w:num>
  <w:num w:numId="41">
    <w:abstractNumId w:val="41"/>
  </w:num>
  <w:num w:numId="42">
    <w:abstractNumId w:val="16"/>
  </w:num>
  <w:num w:numId="43">
    <w:abstractNumId w:val="20"/>
  </w:num>
  <w:num w:numId="44">
    <w:abstractNumId w:val="3"/>
  </w:num>
  <w:num w:numId="45">
    <w:abstractNumId w:val="37"/>
  </w:num>
  <w:num w:numId="46">
    <w:abstractNumId w:val="35"/>
  </w:num>
  <w:num w:numId="47">
    <w:abstractNumId w:val="0"/>
  </w:num>
  <w:num w:numId="48">
    <w:abstractNumId w:val="1"/>
  </w:num>
  <w:num w:numId="49">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07"/>
    <w:rsid w:val="000012A1"/>
    <w:rsid w:val="00005D65"/>
    <w:rsid w:val="000079D8"/>
    <w:rsid w:val="0001043A"/>
    <w:rsid w:val="00014DAE"/>
    <w:rsid w:val="00016114"/>
    <w:rsid w:val="00016DBF"/>
    <w:rsid w:val="00017277"/>
    <w:rsid w:val="00020644"/>
    <w:rsid w:val="00020F75"/>
    <w:rsid w:val="00022424"/>
    <w:rsid w:val="00032911"/>
    <w:rsid w:val="0003416C"/>
    <w:rsid w:val="00035FAC"/>
    <w:rsid w:val="000362DC"/>
    <w:rsid w:val="000366A4"/>
    <w:rsid w:val="00050E0D"/>
    <w:rsid w:val="00050E41"/>
    <w:rsid w:val="0005636F"/>
    <w:rsid w:val="00057757"/>
    <w:rsid w:val="00066961"/>
    <w:rsid w:val="000706CC"/>
    <w:rsid w:val="00071331"/>
    <w:rsid w:val="00076ED1"/>
    <w:rsid w:val="00081F5E"/>
    <w:rsid w:val="000849E7"/>
    <w:rsid w:val="000923E3"/>
    <w:rsid w:val="00092B56"/>
    <w:rsid w:val="00094661"/>
    <w:rsid w:val="00096A74"/>
    <w:rsid w:val="0009737B"/>
    <w:rsid w:val="000976DE"/>
    <w:rsid w:val="000A4DF0"/>
    <w:rsid w:val="000A753B"/>
    <w:rsid w:val="000B098F"/>
    <w:rsid w:val="000B44BE"/>
    <w:rsid w:val="000C38A7"/>
    <w:rsid w:val="000C4D55"/>
    <w:rsid w:val="000C6345"/>
    <w:rsid w:val="000E018F"/>
    <w:rsid w:val="000F19C9"/>
    <w:rsid w:val="0010159A"/>
    <w:rsid w:val="001022B3"/>
    <w:rsid w:val="00106493"/>
    <w:rsid w:val="00111F26"/>
    <w:rsid w:val="00112AA1"/>
    <w:rsid w:val="001147C5"/>
    <w:rsid w:val="00116A34"/>
    <w:rsid w:val="00120622"/>
    <w:rsid w:val="001226B4"/>
    <w:rsid w:val="001255DA"/>
    <w:rsid w:val="00127523"/>
    <w:rsid w:val="001610E1"/>
    <w:rsid w:val="001876E1"/>
    <w:rsid w:val="0019043E"/>
    <w:rsid w:val="001907BC"/>
    <w:rsid w:val="001946DE"/>
    <w:rsid w:val="001A7BE0"/>
    <w:rsid w:val="001B19EB"/>
    <w:rsid w:val="001B20EF"/>
    <w:rsid w:val="001C0982"/>
    <w:rsid w:val="001C7706"/>
    <w:rsid w:val="001D034C"/>
    <w:rsid w:val="001D284B"/>
    <w:rsid w:val="001D4C87"/>
    <w:rsid w:val="001F08C9"/>
    <w:rsid w:val="001F2622"/>
    <w:rsid w:val="00203B10"/>
    <w:rsid w:val="0021217F"/>
    <w:rsid w:val="00212ADA"/>
    <w:rsid w:val="00215362"/>
    <w:rsid w:val="00215A2A"/>
    <w:rsid w:val="002168A4"/>
    <w:rsid w:val="00216D1A"/>
    <w:rsid w:val="00217BFF"/>
    <w:rsid w:val="0022277E"/>
    <w:rsid w:val="00225919"/>
    <w:rsid w:val="0023066B"/>
    <w:rsid w:val="00231D61"/>
    <w:rsid w:val="0023320F"/>
    <w:rsid w:val="0023356D"/>
    <w:rsid w:val="00237EF4"/>
    <w:rsid w:val="00241482"/>
    <w:rsid w:val="0025180E"/>
    <w:rsid w:val="00251B11"/>
    <w:rsid w:val="002527D5"/>
    <w:rsid w:val="002573F8"/>
    <w:rsid w:val="00260287"/>
    <w:rsid w:val="00261F49"/>
    <w:rsid w:val="00270BD2"/>
    <w:rsid w:val="00272551"/>
    <w:rsid w:val="002730E3"/>
    <w:rsid w:val="00281308"/>
    <w:rsid w:val="0028148B"/>
    <w:rsid w:val="00281DE6"/>
    <w:rsid w:val="0028398A"/>
    <w:rsid w:val="00283F3C"/>
    <w:rsid w:val="00292027"/>
    <w:rsid w:val="0029391F"/>
    <w:rsid w:val="00294B03"/>
    <w:rsid w:val="00297B5F"/>
    <w:rsid w:val="002A1896"/>
    <w:rsid w:val="002B7386"/>
    <w:rsid w:val="002C0B96"/>
    <w:rsid w:val="002C0D7A"/>
    <w:rsid w:val="002C13AE"/>
    <w:rsid w:val="002C15EC"/>
    <w:rsid w:val="002C38D4"/>
    <w:rsid w:val="002C65DA"/>
    <w:rsid w:val="002D53F2"/>
    <w:rsid w:val="002D721B"/>
    <w:rsid w:val="002E0BAC"/>
    <w:rsid w:val="002E30CF"/>
    <w:rsid w:val="002E6863"/>
    <w:rsid w:val="002E6D6E"/>
    <w:rsid w:val="002F37D8"/>
    <w:rsid w:val="00315F47"/>
    <w:rsid w:val="0031688D"/>
    <w:rsid w:val="003170DD"/>
    <w:rsid w:val="003175AB"/>
    <w:rsid w:val="00334E26"/>
    <w:rsid w:val="00335E1F"/>
    <w:rsid w:val="003441B5"/>
    <w:rsid w:val="00344764"/>
    <w:rsid w:val="00345F44"/>
    <w:rsid w:val="00347609"/>
    <w:rsid w:val="00353DB0"/>
    <w:rsid w:val="003620A9"/>
    <w:rsid w:val="00364165"/>
    <w:rsid w:val="003732E9"/>
    <w:rsid w:val="00381AF6"/>
    <w:rsid w:val="00382EA1"/>
    <w:rsid w:val="00383C92"/>
    <w:rsid w:val="00384208"/>
    <w:rsid w:val="00387DCA"/>
    <w:rsid w:val="003A558A"/>
    <w:rsid w:val="003A6066"/>
    <w:rsid w:val="003A7CC9"/>
    <w:rsid w:val="003B1ECB"/>
    <w:rsid w:val="003B50E7"/>
    <w:rsid w:val="003B57C2"/>
    <w:rsid w:val="003C01DE"/>
    <w:rsid w:val="003C4E37"/>
    <w:rsid w:val="003E30E6"/>
    <w:rsid w:val="003E48F1"/>
    <w:rsid w:val="003E7485"/>
    <w:rsid w:val="003E7735"/>
    <w:rsid w:val="003F79BB"/>
    <w:rsid w:val="00402408"/>
    <w:rsid w:val="00402537"/>
    <w:rsid w:val="00406755"/>
    <w:rsid w:val="0040741F"/>
    <w:rsid w:val="00410408"/>
    <w:rsid w:val="00413117"/>
    <w:rsid w:val="00413E2A"/>
    <w:rsid w:val="00416B22"/>
    <w:rsid w:val="00430F0D"/>
    <w:rsid w:val="004319FF"/>
    <w:rsid w:val="004356A6"/>
    <w:rsid w:val="004375EE"/>
    <w:rsid w:val="00440E48"/>
    <w:rsid w:val="00442F2E"/>
    <w:rsid w:val="00444B32"/>
    <w:rsid w:val="00451647"/>
    <w:rsid w:val="0045338C"/>
    <w:rsid w:val="00461A1D"/>
    <w:rsid w:val="004628EB"/>
    <w:rsid w:val="0047200C"/>
    <w:rsid w:val="004724C7"/>
    <w:rsid w:val="00475210"/>
    <w:rsid w:val="00475AB4"/>
    <w:rsid w:val="004809A1"/>
    <w:rsid w:val="0048126C"/>
    <w:rsid w:val="004836B6"/>
    <w:rsid w:val="00484CF0"/>
    <w:rsid w:val="00485961"/>
    <w:rsid w:val="00485E17"/>
    <w:rsid w:val="00492F29"/>
    <w:rsid w:val="004939DA"/>
    <w:rsid w:val="00493A24"/>
    <w:rsid w:val="00495B7B"/>
    <w:rsid w:val="004A3615"/>
    <w:rsid w:val="004A3FE5"/>
    <w:rsid w:val="004B1605"/>
    <w:rsid w:val="004B7ABD"/>
    <w:rsid w:val="004C3831"/>
    <w:rsid w:val="004C3F69"/>
    <w:rsid w:val="004C55C1"/>
    <w:rsid w:val="004D07E7"/>
    <w:rsid w:val="004D521B"/>
    <w:rsid w:val="004E693A"/>
    <w:rsid w:val="004F025C"/>
    <w:rsid w:val="004F340C"/>
    <w:rsid w:val="004F58DE"/>
    <w:rsid w:val="005056A8"/>
    <w:rsid w:val="005112AC"/>
    <w:rsid w:val="00514B62"/>
    <w:rsid w:val="00514EAB"/>
    <w:rsid w:val="005226F1"/>
    <w:rsid w:val="00524E9C"/>
    <w:rsid w:val="00530BFE"/>
    <w:rsid w:val="00535932"/>
    <w:rsid w:val="00542415"/>
    <w:rsid w:val="00544FB9"/>
    <w:rsid w:val="00550570"/>
    <w:rsid w:val="005509EA"/>
    <w:rsid w:val="00552BA4"/>
    <w:rsid w:val="0056240F"/>
    <w:rsid w:val="00566362"/>
    <w:rsid w:val="005677B3"/>
    <w:rsid w:val="0057751B"/>
    <w:rsid w:val="00580408"/>
    <w:rsid w:val="00581C9E"/>
    <w:rsid w:val="005831B7"/>
    <w:rsid w:val="00584174"/>
    <w:rsid w:val="005858A4"/>
    <w:rsid w:val="005929DF"/>
    <w:rsid w:val="00594B03"/>
    <w:rsid w:val="00594C22"/>
    <w:rsid w:val="005A706D"/>
    <w:rsid w:val="005B06D3"/>
    <w:rsid w:val="005B17C2"/>
    <w:rsid w:val="005B70F0"/>
    <w:rsid w:val="005C4EC2"/>
    <w:rsid w:val="005C7D8B"/>
    <w:rsid w:val="005D416F"/>
    <w:rsid w:val="005E30DE"/>
    <w:rsid w:val="005E3F78"/>
    <w:rsid w:val="005E6656"/>
    <w:rsid w:val="005F0A27"/>
    <w:rsid w:val="005F2013"/>
    <w:rsid w:val="005F2FD6"/>
    <w:rsid w:val="005F46FC"/>
    <w:rsid w:val="005F506B"/>
    <w:rsid w:val="00600A3E"/>
    <w:rsid w:val="00602671"/>
    <w:rsid w:val="00604E20"/>
    <w:rsid w:val="006102BC"/>
    <w:rsid w:val="00620CFF"/>
    <w:rsid w:val="00622CD8"/>
    <w:rsid w:val="006260F6"/>
    <w:rsid w:val="00626189"/>
    <w:rsid w:val="00630D63"/>
    <w:rsid w:val="00630FD3"/>
    <w:rsid w:val="00635535"/>
    <w:rsid w:val="00635BCA"/>
    <w:rsid w:val="006361FE"/>
    <w:rsid w:val="00636998"/>
    <w:rsid w:val="006377BB"/>
    <w:rsid w:val="00644704"/>
    <w:rsid w:val="006516D3"/>
    <w:rsid w:val="00653E0D"/>
    <w:rsid w:val="00654F31"/>
    <w:rsid w:val="00661AC1"/>
    <w:rsid w:val="006628F4"/>
    <w:rsid w:val="00662E3D"/>
    <w:rsid w:val="006801CE"/>
    <w:rsid w:val="0068497A"/>
    <w:rsid w:val="00687B12"/>
    <w:rsid w:val="00690E10"/>
    <w:rsid w:val="006947DA"/>
    <w:rsid w:val="00694FB8"/>
    <w:rsid w:val="0069558C"/>
    <w:rsid w:val="006A3E86"/>
    <w:rsid w:val="006A4F76"/>
    <w:rsid w:val="006A599A"/>
    <w:rsid w:val="006B19B1"/>
    <w:rsid w:val="006B26B3"/>
    <w:rsid w:val="006B7650"/>
    <w:rsid w:val="006B7E7B"/>
    <w:rsid w:val="006C4DE4"/>
    <w:rsid w:val="006C7182"/>
    <w:rsid w:val="006C7B08"/>
    <w:rsid w:val="006C7C04"/>
    <w:rsid w:val="006D574F"/>
    <w:rsid w:val="006E1E94"/>
    <w:rsid w:val="006E7347"/>
    <w:rsid w:val="006E7C7F"/>
    <w:rsid w:val="006F7B5C"/>
    <w:rsid w:val="00700B53"/>
    <w:rsid w:val="00700C59"/>
    <w:rsid w:val="00702350"/>
    <w:rsid w:val="00703126"/>
    <w:rsid w:val="00712E9E"/>
    <w:rsid w:val="0071412A"/>
    <w:rsid w:val="007142B6"/>
    <w:rsid w:val="007348D2"/>
    <w:rsid w:val="00734ED3"/>
    <w:rsid w:val="007351D1"/>
    <w:rsid w:val="00736630"/>
    <w:rsid w:val="00740C9F"/>
    <w:rsid w:val="00742C6C"/>
    <w:rsid w:val="007435E2"/>
    <w:rsid w:val="00745296"/>
    <w:rsid w:val="007457C3"/>
    <w:rsid w:val="00746A49"/>
    <w:rsid w:val="00746DFE"/>
    <w:rsid w:val="007472D0"/>
    <w:rsid w:val="0075172F"/>
    <w:rsid w:val="0075645F"/>
    <w:rsid w:val="007572C0"/>
    <w:rsid w:val="00762F36"/>
    <w:rsid w:val="00770C26"/>
    <w:rsid w:val="007728BD"/>
    <w:rsid w:val="007730F5"/>
    <w:rsid w:val="00781B40"/>
    <w:rsid w:val="007827FA"/>
    <w:rsid w:val="007855AB"/>
    <w:rsid w:val="0079291E"/>
    <w:rsid w:val="007978E0"/>
    <w:rsid w:val="007A1488"/>
    <w:rsid w:val="007A1E86"/>
    <w:rsid w:val="007A2C45"/>
    <w:rsid w:val="007A30FE"/>
    <w:rsid w:val="007A3161"/>
    <w:rsid w:val="007A3AC9"/>
    <w:rsid w:val="007A526D"/>
    <w:rsid w:val="007A593F"/>
    <w:rsid w:val="007B220C"/>
    <w:rsid w:val="007C3CFD"/>
    <w:rsid w:val="007C4B6B"/>
    <w:rsid w:val="007C56BF"/>
    <w:rsid w:val="007D29D8"/>
    <w:rsid w:val="007D7CB3"/>
    <w:rsid w:val="007E1272"/>
    <w:rsid w:val="007E3B8D"/>
    <w:rsid w:val="007E4361"/>
    <w:rsid w:val="007E527B"/>
    <w:rsid w:val="007F2A4E"/>
    <w:rsid w:val="007F2F10"/>
    <w:rsid w:val="007F397A"/>
    <w:rsid w:val="007F68E3"/>
    <w:rsid w:val="007F7C1A"/>
    <w:rsid w:val="00803F87"/>
    <w:rsid w:val="008050F7"/>
    <w:rsid w:val="008056E1"/>
    <w:rsid w:val="00805FAA"/>
    <w:rsid w:val="00807D82"/>
    <w:rsid w:val="00811C02"/>
    <w:rsid w:val="00815161"/>
    <w:rsid w:val="00815D5B"/>
    <w:rsid w:val="00817E1B"/>
    <w:rsid w:val="00822B09"/>
    <w:rsid w:val="00824820"/>
    <w:rsid w:val="008360F5"/>
    <w:rsid w:val="00836C1E"/>
    <w:rsid w:val="008400A1"/>
    <w:rsid w:val="00840AD0"/>
    <w:rsid w:val="00841EEB"/>
    <w:rsid w:val="008428F7"/>
    <w:rsid w:val="008437BB"/>
    <w:rsid w:val="00845EA0"/>
    <w:rsid w:val="00850C4E"/>
    <w:rsid w:val="00851316"/>
    <w:rsid w:val="008533EC"/>
    <w:rsid w:val="00853981"/>
    <w:rsid w:val="00853FD2"/>
    <w:rsid w:val="00854120"/>
    <w:rsid w:val="00857226"/>
    <w:rsid w:val="00861362"/>
    <w:rsid w:val="00867E57"/>
    <w:rsid w:val="00872EDB"/>
    <w:rsid w:val="00877B8E"/>
    <w:rsid w:val="008815E3"/>
    <w:rsid w:val="00882774"/>
    <w:rsid w:val="00883BEF"/>
    <w:rsid w:val="0088534F"/>
    <w:rsid w:val="00885ADF"/>
    <w:rsid w:val="00893137"/>
    <w:rsid w:val="008A2AB4"/>
    <w:rsid w:val="008A6328"/>
    <w:rsid w:val="008B7CEB"/>
    <w:rsid w:val="008C0743"/>
    <w:rsid w:val="008C11CC"/>
    <w:rsid w:val="008C15CB"/>
    <w:rsid w:val="008C1EFC"/>
    <w:rsid w:val="008C2D95"/>
    <w:rsid w:val="008C2DDA"/>
    <w:rsid w:val="008C3132"/>
    <w:rsid w:val="008C41C1"/>
    <w:rsid w:val="008C50E1"/>
    <w:rsid w:val="008C616F"/>
    <w:rsid w:val="008C73CB"/>
    <w:rsid w:val="008C77C7"/>
    <w:rsid w:val="008D0E00"/>
    <w:rsid w:val="008D2FEC"/>
    <w:rsid w:val="008D68EF"/>
    <w:rsid w:val="008D6C66"/>
    <w:rsid w:val="008D6E36"/>
    <w:rsid w:val="008E2902"/>
    <w:rsid w:val="008E4ABE"/>
    <w:rsid w:val="008E5999"/>
    <w:rsid w:val="0090160F"/>
    <w:rsid w:val="00903C62"/>
    <w:rsid w:val="009105C6"/>
    <w:rsid w:val="00913C4A"/>
    <w:rsid w:val="00914FD2"/>
    <w:rsid w:val="00916D16"/>
    <w:rsid w:val="0091778E"/>
    <w:rsid w:val="009207FD"/>
    <w:rsid w:val="009214F1"/>
    <w:rsid w:val="00923B09"/>
    <w:rsid w:val="009270AC"/>
    <w:rsid w:val="00930BD1"/>
    <w:rsid w:val="009319E5"/>
    <w:rsid w:val="00932781"/>
    <w:rsid w:val="009375C2"/>
    <w:rsid w:val="0094046B"/>
    <w:rsid w:val="0094284D"/>
    <w:rsid w:val="00945B5B"/>
    <w:rsid w:val="009472CF"/>
    <w:rsid w:val="00951324"/>
    <w:rsid w:val="00955FDC"/>
    <w:rsid w:val="009603F3"/>
    <w:rsid w:val="00962A63"/>
    <w:rsid w:val="0097033D"/>
    <w:rsid w:val="00970DE9"/>
    <w:rsid w:val="00972FA7"/>
    <w:rsid w:val="009738DD"/>
    <w:rsid w:val="00974453"/>
    <w:rsid w:val="0097761C"/>
    <w:rsid w:val="00980287"/>
    <w:rsid w:val="00990217"/>
    <w:rsid w:val="009905DA"/>
    <w:rsid w:val="00991034"/>
    <w:rsid w:val="00993B08"/>
    <w:rsid w:val="00995F8D"/>
    <w:rsid w:val="00996414"/>
    <w:rsid w:val="00996424"/>
    <w:rsid w:val="00996DAC"/>
    <w:rsid w:val="009A3182"/>
    <w:rsid w:val="009A6AAF"/>
    <w:rsid w:val="009A706C"/>
    <w:rsid w:val="009A7469"/>
    <w:rsid w:val="009B4C97"/>
    <w:rsid w:val="009B6592"/>
    <w:rsid w:val="009B70A7"/>
    <w:rsid w:val="009B7323"/>
    <w:rsid w:val="009C196F"/>
    <w:rsid w:val="009D115D"/>
    <w:rsid w:val="009D3736"/>
    <w:rsid w:val="009D4164"/>
    <w:rsid w:val="009D79EE"/>
    <w:rsid w:val="009E440D"/>
    <w:rsid w:val="009E7728"/>
    <w:rsid w:val="009F4D50"/>
    <w:rsid w:val="009F6B96"/>
    <w:rsid w:val="009F6EE6"/>
    <w:rsid w:val="009F7263"/>
    <w:rsid w:val="00A111E8"/>
    <w:rsid w:val="00A131C3"/>
    <w:rsid w:val="00A236D6"/>
    <w:rsid w:val="00A26AE5"/>
    <w:rsid w:val="00A321FD"/>
    <w:rsid w:val="00A32550"/>
    <w:rsid w:val="00A43EB6"/>
    <w:rsid w:val="00A4529A"/>
    <w:rsid w:val="00A45EAA"/>
    <w:rsid w:val="00A52231"/>
    <w:rsid w:val="00A54691"/>
    <w:rsid w:val="00A547CE"/>
    <w:rsid w:val="00A63D18"/>
    <w:rsid w:val="00A64A02"/>
    <w:rsid w:val="00A64F87"/>
    <w:rsid w:val="00A67CE4"/>
    <w:rsid w:val="00A705FA"/>
    <w:rsid w:val="00A72192"/>
    <w:rsid w:val="00A76F33"/>
    <w:rsid w:val="00A852E6"/>
    <w:rsid w:val="00A85D27"/>
    <w:rsid w:val="00A97224"/>
    <w:rsid w:val="00AA1644"/>
    <w:rsid w:val="00AA26E8"/>
    <w:rsid w:val="00AB04E1"/>
    <w:rsid w:val="00AC092A"/>
    <w:rsid w:val="00AC10B7"/>
    <w:rsid w:val="00AC239A"/>
    <w:rsid w:val="00AD2A07"/>
    <w:rsid w:val="00AD3592"/>
    <w:rsid w:val="00AE16A7"/>
    <w:rsid w:val="00AE2354"/>
    <w:rsid w:val="00AE3A0D"/>
    <w:rsid w:val="00AE47D0"/>
    <w:rsid w:val="00AF1842"/>
    <w:rsid w:val="00AF3CD5"/>
    <w:rsid w:val="00AF4077"/>
    <w:rsid w:val="00B003D6"/>
    <w:rsid w:val="00B00A6F"/>
    <w:rsid w:val="00B00FC7"/>
    <w:rsid w:val="00B04013"/>
    <w:rsid w:val="00B04D2C"/>
    <w:rsid w:val="00B07273"/>
    <w:rsid w:val="00B14911"/>
    <w:rsid w:val="00B15E95"/>
    <w:rsid w:val="00B160AF"/>
    <w:rsid w:val="00B2023E"/>
    <w:rsid w:val="00B2113B"/>
    <w:rsid w:val="00B22558"/>
    <w:rsid w:val="00B25D79"/>
    <w:rsid w:val="00B26E83"/>
    <w:rsid w:val="00B31DDF"/>
    <w:rsid w:val="00B3238E"/>
    <w:rsid w:val="00B369F5"/>
    <w:rsid w:val="00B4111C"/>
    <w:rsid w:val="00B42B16"/>
    <w:rsid w:val="00B64DE6"/>
    <w:rsid w:val="00B7291A"/>
    <w:rsid w:val="00B81C4E"/>
    <w:rsid w:val="00B81D01"/>
    <w:rsid w:val="00B83BCD"/>
    <w:rsid w:val="00B84424"/>
    <w:rsid w:val="00B9552F"/>
    <w:rsid w:val="00B978F9"/>
    <w:rsid w:val="00BA4C09"/>
    <w:rsid w:val="00BA5714"/>
    <w:rsid w:val="00BB4550"/>
    <w:rsid w:val="00BB6638"/>
    <w:rsid w:val="00BC15B6"/>
    <w:rsid w:val="00BC1A8F"/>
    <w:rsid w:val="00BC1BF2"/>
    <w:rsid w:val="00BC22E7"/>
    <w:rsid w:val="00BC31B4"/>
    <w:rsid w:val="00BC6DB9"/>
    <w:rsid w:val="00BC7F46"/>
    <w:rsid w:val="00BD3529"/>
    <w:rsid w:val="00BD5887"/>
    <w:rsid w:val="00BD5A82"/>
    <w:rsid w:val="00BD7C8B"/>
    <w:rsid w:val="00BE349A"/>
    <w:rsid w:val="00BE3A12"/>
    <w:rsid w:val="00BE5182"/>
    <w:rsid w:val="00C04E24"/>
    <w:rsid w:val="00C13542"/>
    <w:rsid w:val="00C15048"/>
    <w:rsid w:val="00C15396"/>
    <w:rsid w:val="00C239CC"/>
    <w:rsid w:val="00C24122"/>
    <w:rsid w:val="00C25A81"/>
    <w:rsid w:val="00C27956"/>
    <w:rsid w:val="00C344CD"/>
    <w:rsid w:val="00C37FA4"/>
    <w:rsid w:val="00C525B0"/>
    <w:rsid w:val="00C62064"/>
    <w:rsid w:val="00C64276"/>
    <w:rsid w:val="00C66DAC"/>
    <w:rsid w:val="00C82209"/>
    <w:rsid w:val="00C858F5"/>
    <w:rsid w:val="00C86493"/>
    <w:rsid w:val="00C905DA"/>
    <w:rsid w:val="00C913D0"/>
    <w:rsid w:val="00C94F66"/>
    <w:rsid w:val="00C95ECB"/>
    <w:rsid w:val="00C973FB"/>
    <w:rsid w:val="00C97666"/>
    <w:rsid w:val="00CA6636"/>
    <w:rsid w:val="00CB2E70"/>
    <w:rsid w:val="00CC2969"/>
    <w:rsid w:val="00CD3600"/>
    <w:rsid w:val="00CD5E59"/>
    <w:rsid w:val="00CF01C1"/>
    <w:rsid w:val="00CF397C"/>
    <w:rsid w:val="00CF442E"/>
    <w:rsid w:val="00CF4B6B"/>
    <w:rsid w:val="00CF4E33"/>
    <w:rsid w:val="00D03562"/>
    <w:rsid w:val="00D0452E"/>
    <w:rsid w:val="00D07AC6"/>
    <w:rsid w:val="00D11668"/>
    <w:rsid w:val="00D11C22"/>
    <w:rsid w:val="00D12DDB"/>
    <w:rsid w:val="00D15537"/>
    <w:rsid w:val="00D16E76"/>
    <w:rsid w:val="00D17CAF"/>
    <w:rsid w:val="00D23E99"/>
    <w:rsid w:val="00D23F5A"/>
    <w:rsid w:val="00D357BA"/>
    <w:rsid w:val="00D36029"/>
    <w:rsid w:val="00D470E6"/>
    <w:rsid w:val="00D47522"/>
    <w:rsid w:val="00D543C6"/>
    <w:rsid w:val="00D55798"/>
    <w:rsid w:val="00D55DEF"/>
    <w:rsid w:val="00D6555B"/>
    <w:rsid w:val="00D7006B"/>
    <w:rsid w:val="00D71A8D"/>
    <w:rsid w:val="00D75F14"/>
    <w:rsid w:val="00D809D8"/>
    <w:rsid w:val="00D81F3C"/>
    <w:rsid w:val="00D8680E"/>
    <w:rsid w:val="00D911F6"/>
    <w:rsid w:val="00D94483"/>
    <w:rsid w:val="00DA1226"/>
    <w:rsid w:val="00DA3006"/>
    <w:rsid w:val="00DB2CC3"/>
    <w:rsid w:val="00DB3849"/>
    <w:rsid w:val="00DB3C3F"/>
    <w:rsid w:val="00DC0EFB"/>
    <w:rsid w:val="00DC1C7E"/>
    <w:rsid w:val="00DC7A29"/>
    <w:rsid w:val="00DD1963"/>
    <w:rsid w:val="00DD662E"/>
    <w:rsid w:val="00DE64F2"/>
    <w:rsid w:val="00DF1355"/>
    <w:rsid w:val="00DF1B3E"/>
    <w:rsid w:val="00DF38CD"/>
    <w:rsid w:val="00DF712F"/>
    <w:rsid w:val="00E00BCB"/>
    <w:rsid w:val="00E03D08"/>
    <w:rsid w:val="00E1205C"/>
    <w:rsid w:val="00E2048A"/>
    <w:rsid w:val="00E20634"/>
    <w:rsid w:val="00E23E83"/>
    <w:rsid w:val="00E266F2"/>
    <w:rsid w:val="00E34027"/>
    <w:rsid w:val="00E344EE"/>
    <w:rsid w:val="00E3593E"/>
    <w:rsid w:val="00E36174"/>
    <w:rsid w:val="00E400EB"/>
    <w:rsid w:val="00E418D4"/>
    <w:rsid w:val="00E4530A"/>
    <w:rsid w:val="00E462C5"/>
    <w:rsid w:val="00E50EA6"/>
    <w:rsid w:val="00E525A6"/>
    <w:rsid w:val="00E60E22"/>
    <w:rsid w:val="00E63BF3"/>
    <w:rsid w:val="00E6438B"/>
    <w:rsid w:val="00E67058"/>
    <w:rsid w:val="00E76F61"/>
    <w:rsid w:val="00E8181D"/>
    <w:rsid w:val="00E94304"/>
    <w:rsid w:val="00EA133D"/>
    <w:rsid w:val="00EA18A1"/>
    <w:rsid w:val="00EA2FC1"/>
    <w:rsid w:val="00EB0293"/>
    <w:rsid w:val="00EB06D4"/>
    <w:rsid w:val="00EB1162"/>
    <w:rsid w:val="00EB2CD9"/>
    <w:rsid w:val="00EB4562"/>
    <w:rsid w:val="00EB75BE"/>
    <w:rsid w:val="00EC1EBB"/>
    <w:rsid w:val="00EC3BF1"/>
    <w:rsid w:val="00EC3CB4"/>
    <w:rsid w:val="00ED0752"/>
    <w:rsid w:val="00ED2356"/>
    <w:rsid w:val="00ED7196"/>
    <w:rsid w:val="00EE3D02"/>
    <w:rsid w:val="00EE5870"/>
    <w:rsid w:val="00EE6238"/>
    <w:rsid w:val="00EF17CB"/>
    <w:rsid w:val="00EF293E"/>
    <w:rsid w:val="00F029F2"/>
    <w:rsid w:val="00F073AC"/>
    <w:rsid w:val="00F1385F"/>
    <w:rsid w:val="00F1546A"/>
    <w:rsid w:val="00F16303"/>
    <w:rsid w:val="00F253AE"/>
    <w:rsid w:val="00F3173E"/>
    <w:rsid w:val="00F31B7E"/>
    <w:rsid w:val="00F41768"/>
    <w:rsid w:val="00F55F2A"/>
    <w:rsid w:val="00F5647D"/>
    <w:rsid w:val="00F61CC8"/>
    <w:rsid w:val="00F70F48"/>
    <w:rsid w:val="00F7717A"/>
    <w:rsid w:val="00F81183"/>
    <w:rsid w:val="00F8162A"/>
    <w:rsid w:val="00F937EB"/>
    <w:rsid w:val="00F93A1F"/>
    <w:rsid w:val="00F94951"/>
    <w:rsid w:val="00F95C62"/>
    <w:rsid w:val="00FA2D1D"/>
    <w:rsid w:val="00FA5444"/>
    <w:rsid w:val="00FB02AD"/>
    <w:rsid w:val="00FB228B"/>
    <w:rsid w:val="00FB471C"/>
    <w:rsid w:val="00FC13CA"/>
    <w:rsid w:val="00FC35E9"/>
    <w:rsid w:val="00FC3CBF"/>
    <w:rsid w:val="00FC44B6"/>
    <w:rsid w:val="00FD09E1"/>
    <w:rsid w:val="00FD0A12"/>
    <w:rsid w:val="00FD0D63"/>
    <w:rsid w:val="00FD5155"/>
    <w:rsid w:val="00FD6827"/>
    <w:rsid w:val="00FE0F4F"/>
    <w:rsid w:val="00FE2D41"/>
    <w:rsid w:val="00FE3CC9"/>
    <w:rsid w:val="00FF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FD7A1A-A713-4190-8AC1-0FA648F0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7D8"/>
    <w:pPr>
      <w:spacing w:after="0" w:line="240" w:lineRule="auto"/>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1"/>
    <w:basedOn w:val="Normal"/>
    <w:uiPriority w:val="99"/>
    <w:rsid w:val="00AD2A07"/>
    <w:rPr>
      <w:b/>
      <w:caps/>
    </w:rPr>
  </w:style>
  <w:style w:type="paragraph" w:customStyle="1" w:styleId="Head2">
    <w:name w:val="Head2"/>
    <w:basedOn w:val="Normal"/>
    <w:next w:val="Normal"/>
    <w:link w:val="Head2Char"/>
    <w:uiPriority w:val="99"/>
    <w:rsid w:val="00AD2A07"/>
    <w:rPr>
      <w:b/>
    </w:rPr>
  </w:style>
  <w:style w:type="paragraph" w:customStyle="1" w:styleId="Head3">
    <w:name w:val="Head3"/>
    <w:basedOn w:val="Head2"/>
    <w:next w:val="Normal"/>
    <w:uiPriority w:val="99"/>
    <w:rsid w:val="007A3161"/>
    <w:rPr>
      <w:i/>
    </w:rPr>
  </w:style>
  <w:style w:type="paragraph" w:customStyle="1" w:styleId="InternalRef">
    <w:name w:val="Internal Ref"/>
    <w:basedOn w:val="Normal"/>
    <w:next w:val="Normal"/>
    <w:link w:val="InternalRefChar"/>
    <w:uiPriority w:val="99"/>
    <w:rsid w:val="0094046B"/>
    <w:rPr>
      <w:i/>
      <w:u w:val="single"/>
    </w:rPr>
  </w:style>
  <w:style w:type="paragraph" w:customStyle="1" w:styleId="ExternalRef">
    <w:name w:val="External Ref"/>
    <w:basedOn w:val="Normal"/>
    <w:next w:val="Normal"/>
    <w:link w:val="ExternalRefChar"/>
    <w:uiPriority w:val="99"/>
    <w:rsid w:val="00FC35E9"/>
    <w:rPr>
      <w:b/>
      <w:u w:val="single"/>
    </w:rPr>
  </w:style>
  <w:style w:type="paragraph" w:customStyle="1" w:styleId="FormsRef">
    <w:name w:val="Forms Ref"/>
    <w:basedOn w:val="Normal"/>
    <w:link w:val="FormsRefChar"/>
    <w:uiPriority w:val="99"/>
    <w:rsid w:val="007A3161"/>
    <w:rPr>
      <w:i/>
      <w:u w:val="single"/>
    </w:rPr>
  </w:style>
  <w:style w:type="paragraph" w:customStyle="1" w:styleId="Instructions">
    <w:name w:val="Instructions"/>
    <w:basedOn w:val="Normal"/>
    <w:next w:val="Normal"/>
    <w:link w:val="InstructionsChar"/>
    <w:uiPriority w:val="99"/>
    <w:rsid w:val="00F253AE"/>
    <w:rPr>
      <w:i/>
    </w:rPr>
  </w:style>
  <w:style w:type="paragraph" w:customStyle="1" w:styleId="Options">
    <w:name w:val="Options"/>
    <w:basedOn w:val="Instructions"/>
    <w:next w:val="Normal"/>
    <w:uiPriority w:val="99"/>
    <w:rsid w:val="00FD0D63"/>
  </w:style>
  <w:style w:type="table" w:styleId="TableGrid">
    <w:name w:val="Table Grid"/>
    <w:basedOn w:val="TableNormal"/>
    <w:uiPriority w:val="99"/>
    <w:rsid w:val="00E462C5"/>
    <w:pPr>
      <w:widowControl w:val="0"/>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Char">
    <w:name w:val="Instructions Char"/>
    <w:basedOn w:val="DefaultParagraphFont"/>
    <w:link w:val="Instructions"/>
    <w:uiPriority w:val="99"/>
    <w:locked/>
    <w:rsid w:val="001255DA"/>
    <w:rPr>
      <w:rFonts w:cs="Times New Roman"/>
      <w:i/>
      <w:sz w:val="24"/>
      <w:szCs w:val="24"/>
      <w:lang w:val="en-US" w:eastAsia="en-US" w:bidi="ar-SA"/>
    </w:rPr>
  </w:style>
  <w:style w:type="character" w:customStyle="1" w:styleId="Head2Char">
    <w:name w:val="Head2 Char"/>
    <w:basedOn w:val="DefaultParagraphFont"/>
    <w:link w:val="Head2"/>
    <w:uiPriority w:val="99"/>
    <w:locked/>
    <w:rsid w:val="00C27956"/>
    <w:rPr>
      <w:rFonts w:cs="Times New Roman"/>
      <w:b/>
      <w:sz w:val="24"/>
      <w:szCs w:val="24"/>
      <w:lang w:val="en-US" w:eastAsia="en-US" w:bidi="ar-SA"/>
    </w:rPr>
  </w:style>
  <w:style w:type="character" w:customStyle="1" w:styleId="InternalRefChar">
    <w:name w:val="Internal Ref Char"/>
    <w:basedOn w:val="Head2Char"/>
    <w:link w:val="InternalRef"/>
    <w:uiPriority w:val="99"/>
    <w:locked/>
    <w:rsid w:val="0094046B"/>
    <w:rPr>
      <w:rFonts w:cs="Times New Roman"/>
      <w:b/>
      <w:i/>
      <w:sz w:val="24"/>
      <w:szCs w:val="24"/>
      <w:u w:val="single"/>
      <w:lang w:val="en-US" w:eastAsia="en-US" w:bidi="ar-SA"/>
    </w:rPr>
  </w:style>
  <w:style w:type="character" w:customStyle="1" w:styleId="FormsRefChar">
    <w:name w:val="Forms Ref Char"/>
    <w:basedOn w:val="DefaultParagraphFont"/>
    <w:link w:val="FormsRef"/>
    <w:uiPriority w:val="99"/>
    <w:locked/>
    <w:rsid w:val="00096A74"/>
    <w:rPr>
      <w:rFonts w:cs="Times New Roman"/>
      <w:i/>
      <w:sz w:val="24"/>
      <w:szCs w:val="24"/>
      <w:u w:val="single"/>
      <w:lang w:val="en-US" w:eastAsia="en-US" w:bidi="ar-SA"/>
    </w:rPr>
  </w:style>
  <w:style w:type="character" w:customStyle="1" w:styleId="ExternalRefChar">
    <w:name w:val="External Ref Char"/>
    <w:basedOn w:val="DefaultParagraphFont"/>
    <w:link w:val="ExternalRef"/>
    <w:uiPriority w:val="99"/>
    <w:locked/>
    <w:rsid w:val="007855AB"/>
    <w:rPr>
      <w:rFonts w:cs="Times New Roman"/>
      <w:b/>
      <w:sz w:val="24"/>
      <w:szCs w:val="24"/>
      <w:u w:val="single"/>
      <w:lang w:val="en-US" w:eastAsia="en-US" w:bidi="ar-SA"/>
    </w:rPr>
  </w:style>
  <w:style w:type="paragraph" w:styleId="BalloonText">
    <w:name w:val="Balloon Text"/>
    <w:basedOn w:val="Normal"/>
    <w:link w:val="BalloonTextChar"/>
    <w:uiPriority w:val="99"/>
    <w:semiHidden/>
    <w:rsid w:val="00B00FC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character" w:styleId="CommentReference">
    <w:name w:val="annotation reference"/>
    <w:basedOn w:val="DefaultParagraphFont"/>
    <w:uiPriority w:val="99"/>
    <w:semiHidden/>
    <w:rsid w:val="00A54691"/>
    <w:rPr>
      <w:rFonts w:cs="Times New Roman"/>
      <w:sz w:val="16"/>
      <w:szCs w:val="16"/>
    </w:rPr>
  </w:style>
  <w:style w:type="paragraph" w:styleId="CommentText">
    <w:name w:val="annotation text"/>
    <w:basedOn w:val="Normal"/>
    <w:link w:val="CommentTextChar"/>
    <w:uiPriority w:val="99"/>
    <w:semiHidden/>
    <w:rsid w:val="00A54691"/>
    <w:rPr>
      <w:sz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A54691"/>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080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A6FAD-8170-44C7-9A5C-0062FF83F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Facility Security Risk Assessment Guidelines</vt:lpstr>
    </vt:vector>
  </TitlesOfParts>
  <Manager>jruddy</Manager>
  <Company>BLR</Company>
  <LinksUpToDate>false</LinksUpToDate>
  <CharactersWithSpaces>6173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Security Risk Assessment Guidelines</dc:title>
  <dc:subject/>
  <dc:creator>dgalt</dc:creator>
  <cp:keywords/>
  <dc:description/>
  <cp:lastModifiedBy>Ametewee, Selorm</cp:lastModifiedBy>
  <cp:revision>2</cp:revision>
  <cp:lastPrinted>2009-01-13T20:52:00Z</cp:lastPrinted>
  <dcterms:created xsi:type="dcterms:W3CDTF">2019-02-14T21:22:00Z</dcterms:created>
  <dcterms:modified xsi:type="dcterms:W3CDTF">2019-02-14T21:22:00Z</dcterms:modified>
</cp:coreProperties>
</file>