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651" w:type="pct"/>
        <w:tblInd w:w="-885" w:type="dxa"/>
        <w:tblLook w:val="04A0" w:firstRow="1" w:lastRow="0" w:firstColumn="1" w:lastColumn="0" w:noHBand="0" w:noVBand="1"/>
      </w:tblPr>
      <w:tblGrid>
        <w:gridCol w:w="700"/>
        <w:gridCol w:w="3236"/>
        <w:gridCol w:w="6171"/>
        <w:gridCol w:w="3310"/>
        <w:gridCol w:w="2602"/>
      </w:tblGrid>
      <w:tr w:rsidR="00D65EFE" w:rsidTr="00924CA2">
        <w:tc>
          <w:tcPr>
            <w:tcW w:w="700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236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Legislation / Regulation / Order / Code of practice or other</w:t>
            </w:r>
          </w:p>
        </w:tc>
        <w:tc>
          <w:tcPr>
            <w:tcW w:w="6171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it applie</w:t>
            </w:r>
            <w:r>
              <w:rPr>
                <w:b/>
              </w:rPr>
              <w:t>s</w:t>
            </w:r>
            <w:r w:rsidR="00924CA2">
              <w:rPr>
                <w:b/>
              </w:rPr>
              <w:t xml:space="preserve"> </w:t>
            </w:r>
          </w:p>
        </w:tc>
        <w:tc>
          <w:tcPr>
            <w:tcW w:w="3310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Internal documents supporting management and compliance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compliance is evaluated</w:t>
            </w:r>
          </w:p>
        </w:tc>
      </w:tr>
      <w:tr w:rsidR="00D65EFE" w:rsidTr="00924CA2">
        <w:trPr>
          <w:trHeight w:hRule="exact" w:val="1247"/>
        </w:trPr>
        <w:tc>
          <w:tcPr>
            <w:tcW w:w="700" w:type="dxa"/>
            <w:shd w:val="clear" w:color="auto" w:fill="auto"/>
          </w:tcPr>
          <w:p w:rsidR="00D65EFE" w:rsidRPr="00165D42" w:rsidRDefault="00DA3ED7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Health and Safety at Work etc. Act 1974</w:t>
            </w:r>
          </w:p>
          <w:p w:rsidR="00D65EFE" w:rsidRDefault="00D65EFE" w:rsidP="00924CA2"/>
        </w:tc>
        <w:tc>
          <w:tcPr>
            <w:tcW w:w="6171" w:type="dxa"/>
            <w:shd w:val="clear" w:color="auto" w:fill="auto"/>
          </w:tcPr>
          <w:p w:rsidR="00D65EFE" w:rsidRPr="003B7799" w:rsidRDefault="00D65EFE" w:rsidP="00924CA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7799">
              <w:rPr>
                <w:rFonts w:asciiTheme="minorHAnsi" w:hAnsiTheme="minorHAnsi" w:cstheme="minorHAnsi"/>
                <w:sz w:val="22"/>
                <w:szCs w:val="22"/>
              </w:rPr>
              <w:t>Primary Health and Safety legislation -  The Act sets out the general duties which employers have towards employees and members of the public, and employees have to themselves and to each other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Health and Safety Policy and all supporting system documentation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</w:tcPr>
          <w:p w:rsidR="00D65EFE" w:rsidRDefault="00D65EFE" w:rsidP="00924CA2">
            <w:r>
              <w:t>Site and systems audits (internal and external)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Management of Health and Safety at Work Regulations 1999</w:t>
            </w:r>
          </w:p>
          <w:p w:rsidR="00D65EFE" w:rsidRDefault="00D65EFE" w:rsidP="00924CA2">
            <w:r>
              <w:t>ACOP L21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Expands on HASAWA - Specifically Risk assessments and training.</w:t>
            </w:r>
          </w:p>
        </w:tc>
        <w:tc>
          <w:tcPr>
            <w:tcW w:w="3310" w:type="dxa"/>
            <w:shd w:val="clear" w:color="auto" w:fill="auto"/>
          </w:tcPr>
          <w:p w:rsidR="00D65EFE" w:rsidRPr="0069766C" w:rsidRDefault="00D65EFE" w:rsidP="00924CA2">
            <w:pPr>
              <w:rPr>
                <w:b/>
              </w:rPr>
            </w:pPr>
            <w:r>
              <w:t>Health and Safety Policy, training, hazard identification and risk assessment procedure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Work Place (Health, Safety and Welfare) Regulations 1992</w:t>
            </w:r>
          </w:p>
          <w:p w:rsidR="00D65EFE" w:rsidRDefault="00D65EFE" w:rsidP="00924CA2">
            <w:r>
              <w:t>ACOP L24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Basic Health and Safety welfare issues, including welfare facilities, lighting, ventilation, heating, workstations etc.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Health and Safety Policy and risk assessments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 xml:space="preserve">Control of Asbestos Regulations 2012 </w:t>
            </w:r>
          </w:p>
          <w:p w:rsidR="00D65EFE" w:rsidRDefault="00D65EFE" w:rsidP="00924CA2">
            <w:r>
              <w:t>ACOP L127 , L143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Duty to manage asbestos on site, including identifying asbestos containing materials (ACMs). Keep an asbestos register, control risk from asbestos on site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Asbestos register and risk Assessments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Systems audit and surveys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5</w:t>
            </w:r>
            <w:r w:rsidR="00B656A3">
              <w:rPr>
                <w:rFonts w:cstheme="minorHAnsi"/>
                <w:b/>
                <w:sz w:val="32"/>
                <w:szCs w:val="32"/>
              </w:rPr>
              <w:t>†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Control of Lead at Work Regulations 2002</w:t>
            </w:r>
          </w:p>
          <w:p w:rsidR="00D65EFE" w:rsidRDefault="00D65EFE" w:rsidP="00924CA2">
            <w:r>
              <w:t>ACOP L132</w:t>
            </w:r>
          </w:p>
          <w:p w:rsidR="00D65EFE" w:rsidRDefault="00D65EFE" w:rsidP="00924CA2"/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Details control measures for health hazards for workers from lead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Control of Substance Hazardous to Health Risk Assessments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Control of Noise at Work Regulations 2005 Guidance L108, INDG362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Details action and limit levels on noise exposure.</w:t>
            </w:r>
          </w:p>
          <w:p w:rsidR="00D65EFE" w:rsidRDefault="00D65EFE" w:rsidP="00924CA2"/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Noise surveys, risk assessments and Noise Assessments procedure</w:t>
            </w:r>
          </w:p>
          <w:p w:rsidR="00D65EFE" w:rsidRDefault="00D65EFE" w:rsidP="00924CA2"/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System, site auditing and monitoring.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Control of Substances Hazardous to Health (COSHH) Regulations 2002</w:t>
            </w:r>
          </w:p>
          <w:p w:rsidR="00D65EFE" w:rsidRDefault="00D65EFE" w:rsidP="00924CA2">
            <w:r>
              <w:t>ACOP L5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Risk assessments of hazardous substances and defined appropriate controls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Hazard identification and risk assessment procedure, COSHH assessments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567"/>
        </w:trPr>
        <w:tc>
          <w:tcPr>
            <w:tcW w:w="700" w:type="dxa"/>
            <w:shd w:val="clear" w:color="auto" w:fill="auto"/>
          </w:tcPr>
          <w:p w:rsidR="00D65EFE" w:rsidRPr="0070146B" w:rsidRDefault="00D65EFE" w:rsidP="00924CA2">
            <w:pPr>
              <w:jc w:val="center"/>
              <w:rPr>
                <w:b/>
              </w:rPr>
            </w:pPr>
            <w:r w:rsidRPr="0070146B">
              <w:rPr>
                <w:b/>
              </w:rPr>
              <w:lastRenderedPageBreak/>
              <w:t>No.</w:t>
            </w:r>
          </w:p>
        </w:tc>
        <w:tc>
          <w:tcPr>
            <w:tcW w:w="3236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Legislation / Regulation / Order / Code of practice or other</w:t>
            </w:r>
          </w:p>
        </w:tc>
        <w:tc>
          <w:tcPr>
            <w:tcW w:w="6171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it applie</w:t>
            </w:r>
            <w:r>
              <w:rPr>
                <w:b/>
              </w:rPr>
              <w:t>s</w:t>
            </w:r>
            <w:r w:rsidR="00924CA2">
              <w:rPr>
                <w:b/>
              </w:rPr>
              <w:t xml:space="preserve"> </w:t>
            </w:r>
          </w:p>
        </w:tc>
        <w:tc>
          <w:tcPr>
            <w:tcW w:w="3310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Internal documents supporting management and compliance</w:t>
            </w:r>
          </w:p>
        </w:tc>
        <w:tc>
          <w:tcPr>
            <w:tcW w:w="2602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compliance is evaluated</w:t>
            </w:r>
          </w:p>
        </w:tc>
      </w:tr>
      <w:tr w:rsidR="00D65EFE" w:rsidTr="00924CA2">
        <w:trPr>
          <w:trHeight w:hRule="exact" w:val="1247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Control of Vibration at Work Regulations 2005</w:t>
            </w:r>
          </w:p>
          <w:p w:rsidR="00D65EFE" w:rsidRDefault="00D65EFE" w:rsidP="00924CA2">
            <w:r>
              <w:t>Guidance L140 &amp; L141</w:t>
            </w:r>
          </w:p>
          <w:p w:rsidR="00D65EFE" w:rsidRDefault="00D65EFE" w:rsidP="00924CA2"/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Details action and limit levels on vibration exposure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Vibration surveys, manufacturer readings, risk assessments and training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System, site auditing and monitoring</w:t>
            </w:r>
          </w:p>
        </w:tc>
      </w:tr>
      <w:tr w:rsidR="00D65EFE" w:rsidTr="00924CA2">
        <w:trPr>
          <w:trHeight w:hRule="exact" w:val="147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9</w:t>
            </w:r>
            <w:r w:rsidR="0006076F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Dangerous Substance and Explosive Atmospheres Regulations 2002</w:t>
            </w:r>
          </w:p>
          <w:p w:rsidR="00D65EFE" w:rsidRDefault="00D65EFE" w:rsidP="00924CA2">
            <w:r>
              <w:t xml:space="preserve">ACOP  L134, L135, L136, 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Risk assessment of activities involving dangerous substances. Ensuring correct storage, use and disposal of all highly flammable liquids and liquefied petroleum gases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Risk assessments, COSHH assessments and company training and documentation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30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 xml:space="preserve">Electricity at Work Regulations 1989 </w:t>
            </w:r>
          </w:p>
          <w:p w:rsidR="00D65EFE" w:rsidRDefault="00D65EFE" w:rsidP="00924CA2">
            <w:r>
              <w:t>Guidance HSR25, HSG85 &amp; IEE Wiring Regulations (BS7671) 17</w:t>
            </w:r>
            <w:r w:rsidRPr="006A240C">
              <w:rPr>
                <w:vertAlign w:val="superscript"/>
              </w:rPr>
              <w:t>th</w:t>
            </w:r>
            <w:r>
              <w:t xml:space="preserve"> Edition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electrical systems on site are safe to use and maintained in a safe condition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Compliance certification and PAT testing registers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30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Employers’ Liability (compulsory Insurance) Act 1969</w:t>
            </w:r>
          </w:p>
          <w:p w:rsidR="00D65EFE" w:rsidRDefault="00D65EFE" w:rsidP="00924CA2">
            <w:r>
              <w:t>Guidance HSE40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Liability insurance must be in place to insure against accidents and ill health to employees, the certificate must be displayed</w:t>
            </w:r>
          </w:p>
          <w:p w:rsidR="00D65EFE" w:rsidRDefault="00D65EFE" w:rsidP="00924CA2"/>
          <w:p w:rsidR="00D65EFE" w:rsidRDefault="00D65EFE" w:rsidP="00924CA2"/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Insurance certificate on each noticeboard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Site audit</w:t>
            </w:r>
          </w:p>
        </w:tc>
      </w:tr>
      <w:tr w:rsidR="00D65EFE" w:rsidTr="00924CA2">
        <w:trPr>
          <w:trHeight w:hRule="exact" w:val="130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Gas Safety (Installation and Use) Regulations 1998</w:t>
            </w:r>
          </w:p>
          <w:p w:rsidR="00D65EFE" w:rsidRDefault="00D65EFE" w:rsidP="00924CA2">
            <w:r>
              <w:t>ACOP L56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gas systems on site are safely installed, maintained and safe to use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Gas safety engineers service reports and Gas Safe register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30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Health and Safety (Consultation with Employees) Regulations 1996</w:t>
            </w:r>
          </w:p>
          <w:p w:rsidR="00D65EFE" w:rsidRDefault="00D65EFE" w:rsidP="00924CA2">
            <w:r>
              <w:t>Guidance L95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Details functions of Representatives of Employee Safety (RoES) and consulting requirements (safety meetings) with employees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Training and consultations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567"/>
        </w:trPr>
        <w:tc>
          <w:tcPr>
            <w:tcW w:w="700" w:type="dxa"/>
            <w:shd w:val="clear" w:color="auto" w:fill="auto"/>
          </w:tcPr>
          <w:p w:rsidR="00D65EFE" w:rsidRPr="0070146B" w:rsidRDefault="00D65EFE" w:rsidP="00924CA2">
            <w:pPr>
              <w:jc w:val="center"/>
              <w:rPr>
                <w:b/>
              </w:rPr>
            </w:pPr>
            <w:r w:rsidRPr="0070146B">
              <w:rPr>
                <w:b/>
              </w:rPr>
              <w:lastRenderedPageBreak/>
              <w:t>No.</w:t>
            </w:r>
          </w:p>
        </w:tc>
        <w:tc>
          <w:tcPr>
            <w:tcW w:w="3236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Legislation / Regulation / Order / Code of practice or other</w:t>
            </w:r>
          </w:p>
        </w:tc>
        <w:tc>
          <w:tcPr>
            <w:tcW w:w="6171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it applie</w:t>
            </w:r>
            <w:r>
              <w:rPr>
                <w:b/>
              </w:rPr>
              <w:t>s</w:t>
            </w:r>
            <w:r w:rsidRPr="00424314">
              <w:rPr>
                <w:b/>
              </w:rPr>
              <w:t xml:space="preserve"> </w:t>
            </w:r>
          </w:p>
        </w:tc>
        <w:tc>
          <w:tcPr>
            <w:tcW w:w="3310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Internal documents supporting management and compliance</w:t>
            </w:r>
          </w:p>
        </w:tc>
        <w:tc>
          <w:tcPr>
            <w:tcW w:w="2602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compliance is evaluated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14</w:t>
            </w:r>
            <w:r w:rsidR="00A2698D">
              <w:rPr>
                <w:rFonts w:cstheme="minorHAnsi"/>
                <w:b/>
                <w:sz w:val="32"/>
                <w:szCs w:val="32"/>
              </w:rPr>
              <w:t>•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 xml:space="preserve">Health and Safety (Display Screen Equipment) Regulations 1992 (as amended) </w:t>
            </w:r>
          </w:p>
          <w:p w:rsidR="00D65EFE" w:rsidRDefault="00D65EFE" w:rsidP="00924CA2">
            <w:r>
              <w:t>Guidance L26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employees using display screen equipment are assessed in order to reduce risks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Display screen equipment assessments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Health and Safety (First Aid) Regulations 1981</w:t>
            </w:r>
          </w:p>
          <w:p w:rsidR="00D65EFE" w:rsidRDefault="00D65EFE" w:rsidP="00924CA2">
            <w:pPr>
              <w:tabs>
                <w:tab w:val="left" w:pos="2043"/>
              </w:tabs>
            </w:pPr>
            <w:r>
              <w:t>ACOP L74</w:t>
            </w:r>
            <w:r w:rsidR="00572E8C">
              <w:tab/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appropriate equipment, facilities and trained personnel are available to ensure first aid can be given to employees if they are injured or become ill at work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Training documentation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Reporting of Injuries, Diseases and Danger</w:t>
            </w:r>
            <w:r w:rsidR="005770B5">
              <w:t>ous Occurrences Regulations 2013</w:t>
            </w:r>
          </w:p>
          <w:p w:rsidR="00D65EFE" w:rsidRDefault="00D65EFE" w:rsidP="00924CA2">
            <w:r>
              <w:t>Guidance L73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Requirement to notify certain occupational injuries, diseases and dangerous occurrences to the HSE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Accident/ Incident reporting, HSE accident forms, accident investigations and accident interviews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Health and Safety Information for Employees Regulations 1989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Must provide information to employees relating to their health, safety and welfare at work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Display the approved poster or issue the approved leaflet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Health and Safety (Safety signs &amp; Signals) Regulations 1996</w:t>
            </w:r>
          </w:p>
          <w:p w:rsidR="00D65EFE" w:rsidRDefault="00D65EFE" w:rsidP="00924CA2">
            <w:r>
              <w:t>Guidance L64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Details safety signage and signalling requirements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Audit reports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System. site audits and management inspections</w:t>
            </w:r>
          </w:p>
        </w:tc>
      </w:tr>
      <w:tr w:rsidR="009A7E4B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9A7E4B" w:rsidRPr="00165D42" w:rsidRDefault="00372196" w:rsidP="00924C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3236" w:type="dxa"/>
            <w:shd w:val="clear" w:color="auto" w:fill="auto"/>
          </w:tcPr>
          <w:p w:rsidR="00372196" w:rsidRDefault="00372196" w:rsidP="00924CA2">
            <w:pPr>
              <w:pStyle w:val="Heading2"/>
              <w:spacing w:before="0" w:after="120" w:line="288" w:lineRule="atLeast"/>
              <w:textAlignment w:val="baseline"/>
              <w:outlineLvl w:val="1"/>
              <w:rPr>
                <w:rFonts w:ascii="Arial" w:hAnsi="Arial" w:cs="Arial"/>
                <w:b w:val="0"/>
                <w:bCs w:val="0"/>
                <w:color w:val="4E4E4E"/>
                <w:sz w:val="38"/>
                <w:szCs w:val="38"/>
              </w:rPr>
            </w:pPr>
            <w:r w:rsidRPr="00372196">
              <w:rPr>
                <w:rFonts w:asciiTheme="minorHAnsi" w:hAnsiTheme="minorHAnsi" w:cs="Arial"/>
                <w:b w:val="0"/>
                <w:bCs w:val="0"/>
                <w:color w:val="auto"/>
                <w:sz w:val="22"/>
                <w:szCs w:val="22"/>
              </w:rPr>
              <w:t>The Acetylene Safety (England and Wales and</w:t>
            </w:r>
            <w:r w:rsidRPr="00372196">
              <w:rPr>
                <w:rFonts w:ascii="Arial" w:hAnsi="Arial" w:cs="Arial"/>
                <w:b w:val="0"/>
                <w:bCs w:val="0"/>
                <w:color w:val="auto"/>
                <w:sz w:val="38"/>
                <w:szCs w:val="38"/>
              </w:rPr>
              <w:t xml:space="preserve"> </w:t>
            </w:r>
            <w:r w:rsidRPr="00372196">
              <w:rPr>
                <w:rFonts w:asciiTheme="minorHAnsi" w:hAnsiTheme="minorHAnsi" w:cs="Arial"/>
                <w:b w:val="0"/>
                <w:bCs w:val="0"/>
                <w:color w:val="auto"/>
                <w:sz w:val="22"/>
                <w:szCs w:val="22"/>
              </w:rPr>
              <w:t>Scotland) Regulations 2014</w:t>
            </w:r>
          </w:p>
          <w:p w:rsidR="009A7E4B" w:rsidRDefault="009A7E4B" w:rsidP="00924CA2"/>
        </w:tc>
        <w:tc>
          <w:tcPr>
            <w:tcW w:w="6171" w:type="dxa"/>
            <w:shd w:val="clear" w:color="auto" w:fill="auto"/>
          </w:tcPr>
          <w:p w:rsidR="009A7E4B" w:rsidRDefault="00372196" w:rsidP="00924CA2">
            <w:r>
              <w:t>Details safety requirements for using Acetylene gas.</w:t>
            </w:r>
          </w:p>
        </w:tc>
        <w:tc>
          <w:tcPr>
            <w:tcW w:w="3310" w:type="dxa"/>
            <w:shd w:val="clear" w:color="auto" w:fill="auto"/>
          </w:tcPr>
          <w:p w:rsidR="009A7E4B" w:rsidRDefault="00372196" w:rsidP="00924CA2">
            <w:r>
              <w:t>Risk assessments company training and documentation</w:t>
            </w:r>
          </w:p>
        </w:tc>
        <w:tc>
          <w:tcPr>
            <w:tcW w:w="2602" w:type="dxa"/>
            <w:shd w:val="clear" w:color="auto" w:fill="auto"/>
          </w:tcPr>
          <w:p w:rsidR="009A7E4B" w:rsidRDefault="00372196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Lifting Operations and Lifting Equipment Regulations 1998 (LOLER)</w:t>
            </w:r>
          </w:p>
          <w:p w:rsidR="00D65EFE" w:rsidRDefault="00D65EFE" w:rsidP="00924CA2">
            <w:r>
              <w:t>ACOP L113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Details types of lifting equipment and accessories and the need for thorough examinations, lift planning etc.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 xml:space="preserve">Training, thorough examinations/ inspection reports. Lift plans for complex lifting activities. </w:t>
            </w:r>
            <w:proofErr w:type="spellStart"/>
            <w:r>
              <w:t>Pre</w:t>
            </w:r>
            <w:proofErr w:type="spellEnd"/>
            <w:r>
              <w:t xml:space="preserve"> -use checks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System. site audits and management inspections</w:t>
            </w:r>
          </w:p>
        </w:tc>
      </w:tr>
      <w:tr w:rsidR="00D65EFE" w:rsidTr="00924CA2">
        <w:trPr>
          <w:trHeight w:hRule="exact" w:val="567"/>
        </w:trPr>
        <w:tc>
          <w:tcPr>
            <w:tcW w:w="700" w:type="dxa"/>
            <w:shd w:val="clear" w:color="auto" w:fill="auto"/>
          </w:tcPr>
          <w:p w:rsidR="00D65EFE" w:rsidRPr="0070146B" w:rsidRDefault="00D65EFE" w:rsidP="00924CA2">
            <w:pPr>
              <w:jc w:val="center"/>
              <w:rPr>
                <w:b/>
              </w:rPr>
            </w:pPr>
            <w:r w:rsidRPr="0070146B">
              <w:rPr>
                <w:b/>
              </w:rPr>
              <w:lastRenderedPageBreak/>
              <w:t>No.</w:t>
            </w:r>
          </w:p>
        </w:tc>
        <w:tc>
          <w:tcPr>
            <w:tcW w:w="3236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Legislation / Regulation / Order / Code of practice or other</w:t>
            </w:r>
          </w:p>
        </w:tc>
        <w:tc>
          <w:tcPr>
            <w:tcW w:w="6171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it applie</w:t>
            </w:r>
            <w:r>
              <w:rPr>
                <w:b/>
              </w:rPr>
              <w:t>s</w:t>
            </w:r>
            <w:r w:rsidRPr="00424314">
              <w:rPr>
                <w:b/>
              </w:rPr>
              <w:t xml:space="preserve"> </w:t>
            </w:r>
          </w:p>
        </w:tc>
        <w:tc>
          <w:tcPr>
            <w:tcW w:w="3310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Internal documents supporting management and compliance</w:t>
            </w:r>
          </w:p>
        </w:tc>
        <w:tc>
          <w:tcPr>
            <w:tcW w:w="2602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compliance is evaluated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 xml:space="preserve">Manual Handling Operations Regulations 1992 (as amended) </w:t>
            </w:r>
          </w:p>
          <w:p w:rsidR="00D65EFE" w:rsidRDefault="00D65EFE" w:rsidP="00924CA2">
            <w:r>
              <w:t>Guidance INDG383, HSG113 &amp; L23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task involving manual handling are risk assessed and avoid hazardous handling where practicable and controls are in place to reduce risks.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Risk assessments and training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System. site audits and management inspections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Personal Protective Equipment at Work Regulations 1992 (as amended) (PPE)</w:t>
            </w:r>
          </w:p>
          <w:p w:rsidR="00D65EFE" w:rsidRDefault="00D65EFE" w:rsidP="00924CA2">
            <w:r>
              <w:t>Guidance L25, HSG53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that appropriate protective equipment is provided to employees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Risk assessments, PPE issue records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System. site audits and management inspections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rFonts w:cstheme="minorHAnsi"/>
                <w:b/>
                <w:sz w:val="32"/>
                <w:szCs w:val="32"/>
              </w:rPr>
            </w:pPr>
            <w:r w:rsidRPr="00165D42">
              <w:rPr>
                <w:rFonts w:cstheme="minorHAnsi"/>
                <w:b/>
                <w:sz w:val="32"/>
                <w:szCs w:val="32"/>
              </w:rPr>
              <w:t>23</w:t>
            </w:r>
            <w:r w:rsidR="0006076F">
              <w:rPr>
                <w:rFonts w:cstheme="minorHAnsi"/>
                <w:b/>
                <w:sz w:val="32"/>
                <w:szCs w:val="32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:rsidR="00D65EFE" w:rsidRPr="00A20E1C" w:rsidRDefault="00D65EFE" w:rsidP="00924CA2">
            <w:pPr>
              <w:rPr>
                <w:rFonts w:cstheme="minorHAnsi"/>
              </w:rPr>
            </w:pPr>
            <w:r w:rsidRPr="00A20E1C">
              <w:rPr>
                <w:rFonts w:cstheme="minorHAnsi"/>
              </w:rPr>
              <w:t>The Carriage of Dangerous Goods and Use of Transportable Pressure Equipment Regulations</w:t>
            </w:r>
            <w:r>
              <w:rPr>
                <w:rFonts w:cstheme="minorHAnsi"/>
              </w:rPr>
              <w:t xml:space="preserve"> 2011 (as amended) ("CDG 2011")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Ensures compliance when transporting Dangerous goods e.g. Petroleum and Diesel and when moving compressed gas cylinders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Risk assessments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System. site audits and management inspections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24</w:t>
            </w:r>
            <w:r w:rsidR="00A2698D">
              <w:rPr>
                <w:rFonts w:cstheme="minorHAnsi"/>
                <w:b/>
                <w:sz w:val="32"/>
                <w:szCs w:val="32"/>
              </w:rPr>
              <w:t>‡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Pressure Systems Safety Regulations 2000</w:t>
            </w:r>
          </w:p>
          <w:p w:rsidR="00D65EFE" w:rsidRDefault="00D65EFE" w:rsidP="00924CA2">
            <w:r>
              <w:t>ACOP L122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Ensures pressure systems have ‘ Written Schemes of Examination’ and inspections are carried out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Competent person inspection reports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Provisions and Use of Work Equipment Regulations 1998 (PUWER)</w:t>
            </w:r>
          </w:p>
          <w:p w:rsidR="00D65EFE" w:rsidRDefault="00D65EFE" w:rsidP="00924CA2">
            <w:r>
              <w:t>ACOP L22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that work equipment and machinery provided for use at work is safe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Risk assessments, maintenance schedules and pre-use checks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Regulatory Reform (Fire Safety) Order 2005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Ensures fire safety compliance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Fire risk assessments, training records and emergency plans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The Health Act 2006 (The Smoke free Regulations 2007)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Restricts smoking to defined outside areas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Smoking Policy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Site audits</w:t>
            </w:r>
          </w:p>
        </w:tc>
      </w:tr>
      <w:tr w:rsidR="00D65EFE" w:rsidTr="00924CA2">
        <w:trPr>
          <w:trHeight w:hRule="exact" w:val="567"/>
        </w:trPr>
        <w:tc>
          <w:tcPr>
            <w:tcW w:w="700" w:type="dxa"/>
            <w:shd w:val="clear" w:color="auto" w:fill="auto"/>
          </w:tcPr>
          <w:p w:rsidR="00D65EFE" w:rsidRPr="0070146B" w:rsidRDefault="00D65EFE" w:rsidP="00924CA2">
            <w:pPr>
              <w:jc w:val="center"/>
              <w:rPr>
                <w:b/>
              </w:rPr>
            </w:pPr>
            <w:r w:rsidRPr="0070146B">
              <w:rPr>
                <w:b/>
              </w:rPr>
              <w:t>No.</w:t>
            </w:r>
          </w:p>
        </w:tc>
        <w:tc>
          <w:tcPr>
            <w:tcW w:w="3236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Legislation / Regulation / Order / Code of practice or other</w:t>
            </w:r>
          </w:p>
        </w:tc>
        <w:tc>
          <w:tcPr>
            <w:tcW w:w="6171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it applie</w:t>
            </w:r>
            <w:r>
              <w:rPr>
                <w:b/>
              </w:rPr>
              <w:t>s</w:t>
            </w:r>
            <w:r w:rsidRPr="00424314">
              <w:rPr>
                <w:b/>
              </w:rPr>
              <w:t xml:space="preserve"> </w:t>
            </w:r>
          </w:p>
        </w:tc>
        <w:tc>
          <w:tcPr>
            <w:tcW w:w="3310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Internal documents supporting management and compliance</w:t>
            </w:r>
          </w:p>
        </w:tc>
        <w:tc>
          <w:tcPr>
            <w:tcW w:w="2602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compliance is evaluated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Smo</w:t>
            </w:r>
            <w:r w:rsidR="00D52F74">
              <w:t>ke-free (Signs) regulations 2012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compliance with The Health Act</w:t>
            </w:r>
            <w:r w:rsidR="00D52F74">
              <w:t xml:space="preserve"> (The Smoke free Regulations 2012</w:t>
            </w:r>
            <w:r>
              <w:t>)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Smoking Policy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Working at Height Regulations 2005</w:t>
            </w:r>
          </w:p>
          <w:p w:rsidR="00D65EFE" w:rsidRDefault="00D65EFE" w:rsidP="00924CA2">
            <w:r>
              <w:t>Guidance INDG401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Ensures all work at height is carried out safely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Risk assessments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The Control of Artificial Optical Radiation at Work Regulations 2010 (AOR)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the correct training and procedures are in place to protect employees from harmful light sources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Risk assessments, PPE records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Contaminated Land (England) Regulations</w:t>
            </w:r>
            <w:r w:rsidR="00572E8C">
              <w:t xml:space="preserve"> 2006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Preventing land from contamination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Risk assessments, inspections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32</w:t>
            </w:r>
            <w:r w:rsidR="0006076F">
              <w:rPr>
                <w:rFonts w:cstheme="minorHAnsi"/>
                <w:b/>
                <w:sz w:val="32"/>
                <w:szCs w:val="32"/>
              </w:rPr>
              <w:t>¨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Control of Pesticide Regulations 1986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Only approved Pesticides should be used they should be stored safely, clearly marked in their original containers and should not give rise to danger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Risk COSHH assessments, Inspections, Storage and Usage sheets &amp; Training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33</w:t>
            </w:r>
            <w:r w:rsidR="0006076F">
              <w:rPr>
                <w:rFonts w:cstheme="minorHAnsi"/>
                <w:b/>
                <w:sz w:val="32"/>
                <w:szCs w:val="32"/>
              </w:rPr>
              <w:t>¨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Biocides Products Regulations 2001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Only approved Biocides should be used, they should be stored safely, clearly marked in their original containers and should not give rise to danger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Risk COSHH assessments, Inspections, Storage and Usage sheets &amp; Training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Corporate Manslaughter and Corporate Homicide Act 2007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Imposes punishment where there is a failing in the duty of care or management which results in death of a person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Systems, Risk assessments, Management training,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Systems and site audits</w:t>
            </w:r>
          </w:p>
        </w:tc>
      </w:tr>
      <w:tr w:rsidR="00D65EFE" w:rsidTr="00924CA2">
        <w:trPr>
          <w:trHeight w:hRule="exact" w:val="567"/>
        </w:trPr>
        <w:tc>
          <w:tcPr>
            <w:tcW w:w="700" w:type="dxa"/>
            <w:shd w:val="clear" w:color="auto" w:fill="auto"/>
          </w:tcPr>
          <w:p w:rsidR="00D65EFE" w:rsidRPr="0070146B" w:rsidRDefault="00D65EFE" w:rsidP="00924CA2">
            <w:pPr>
              <w:jc w:val="center"/>
              <w:rPr>
                <w:b/>
              </w:rPr>
            </w:pPr>
            <w:r w:rsidRPr="0070146B">
              <w:rPr>
                <w:b/>
              </w:rPr>
              <w:t>No.</w:t>
            </w:r>
          </w:p>
        </w:tc>
        <w:tc>
          <w:tcPr>
            <w:tcW w:w="3236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Legislation / Regulation / Order / Code of practice or other</w:t>
            </w:r>
          </w:p>
        </w:tc>
        <w:tc>
          <w:tcPr>
            <w:tcW w:w="6171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it applie</w:t>
            </w:r>
            <w:r>
              <w:rPr>
                <w:b/>
              </w:rPr>
              <w:t>s</w:t>
            </w:r>
            <w:r w:rsidRPr="00424314">
              <w:rPr>
                <w:b/>
              </w:rPr>
              <w:t xml:space="preserve"> </w:t>
            </w:r>
          </w:p>
        </w:tc>
        <w:tc>
          <w:tcPr>
            <w:tcW w:w="3310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Internal documents supporting management and compliance</w:t>
            </w:r>
          </w:p>
        </w:tc>
        <w:tc>
          <w:tcPr>
            <w:tcW w:w="2602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compliance is evaluated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Environmental Damage Prevention and Remediation Regulations 2009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Ensures that we prevent damage and remedy any damage we cause to the environment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Systems, Inspections, Risk assessments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36</w:t>
            </w:r>
            <w:r w:rsidR="0006076F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Environmental Permitting (England  and Wales) Regulations 2007 (as amended 2010)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Ensures any discharges  are permitted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Discharge permits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Fire Safety (Employees Capabilities) (England) Regulations 2010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Ensures employee assess the capabilities of employees before assigning fire responsibilities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Appraisals &amp; Training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38</w:t>
            </w:r>
            <w:r w:rsidR="0006076F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Hazardous Waste Regulations 2005 (as amended England 2009)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We must register as a Producer of Hazardous waste if we produce over 500Kg (Annually) and keep any records.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Hazardous waste registration certificate, waste transfer notes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39</w:t>
            </w:r>
            <w:r w:rsidR="0006076F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List of Wastes (England) Regulations 2005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that there is no unauthorised deposit, treatment, keeping or disposal of controlled wastes.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Waste transfer notes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40</w:t>
            </w:r>
            <w:r w:rsidR="0006076F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 xml:space="preserve">Non Waste Frame Directives Exemption 2010 </w:t>
            </w:r>
            <w:r w:rsidRPr="00555A2B">
              <w:rPr>
                <w:i/>
              </w:rPr>
              <w:t>- Temporary storage of waste at a place controlled by the producer</w:t>
            </w:r>
            <w:r>
              <w:t xml:space="preserve"> 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Exempts us from the need to register for a permit - but we still need to comply with terms and conditions of the exemptions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Systems, Management Training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41</w:t>
            </w:r>
            <w:r w:rsidR="0006076F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 xml:space="preserve">Non Waste Frame Directives Exemption 2010 - </w:t>
            </w:r>
            <w:r w:rsidRPr="00555A2B">
              <w:rPr>
                <w:i/>
              </w:rPr>
              <w:t>Temporary storage of waste at the place of production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pPr>
              <w:jc w:val="both"/>
            </w:pPr>
            <w:r w:rsidRPr="00555A2B">
              <w:rPr>
                <w:rFonts w:cstheme="minorHAnsi"/>
              </w:rPr>
              <w:t xml:space="preserve">This allows us to store waste produced by us (not others) at our premises for up to 12 months providing it is </w:t>
            </w:r>
            <w:r>
              <w:rPr>
                <w:rFonts w:cstheme="minorHAnsi"/>
              </w:rPr>
              <w:t>secure.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systems, Management Training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567"/>
        </w:trPr>
        <w:tc>
          <w:tcPr>
            <w:tcW w:w="700" w:type="dxa"/>
            <w:shd w:val="clear" w:color="auto" w:fill="auto"/>
          </w:tcPr>
          <w:p w:rsidR="00D65EFE" w:rsidRPr="0070146B" w:rsidRDefault="00D65EFE" w:rsidP="00924CA2">
            <w:pPr>
              <w:jc w:val="center"/>
              <w:rPr>
                <w:b/>
              </w:rPr>
            </w:pPr>
            <w:r w:rsidRPr="0070146B">
              <w:rPr>
                <w:b/>
              </w:rPr>
              <w:t>No.</w:t>
            </w:r>
          </w:p>
        </w:tc>
        <w:tc>
          <w:tcPr>
            <w:tcW w:w="3236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Legislation / Regulation / Order / Code of practice or other</w:t>
            </w:r>
          </w:p>
        </w:tc>
        <w:tc>
          <w:tcPr>
            <w:tcW w:w="6171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it applie</w:t>
            </w:r>
            <w:r>
              <w:rPr>
                <w:b/>
              </w:rPr>
              <w:t>s</w:t>
            </w:r>
            <w:r w:rsidR="00924CA2">
              <w:rPr>
                <w:b/>
              </w:rPr>
              <w:t xml:space="preserve"> </w:t>
            </w:r>
          </w:p>
        </w:tc>
        <w:tc>
          <w:tcPr>
            <w:tcW w:w="3310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Internal documents supporting management and compliance</w:t>
            </w:r>
          </w:p>
        </w:tc>
        <w:tc>
          <w:tcPr>
            <w:tcW w:w="2602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compliance is evaluated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The Confined Space Regulations 1997</w:t>
            </w:r>
          </w:p>
          <w:p w:rsidR="00D65EFE" w:rsidRDefault="00D65EFE" w:rsidP="00924CA2">
            <w:r>
              <w:t>ACOP L101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that work in confined spaces is assessed and controlled and avoided if possible.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Systems, Inspections, Permit to work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System, site audits and management inspections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Environmental Protection Act 1990</w:t>
            </w:r>
          </w:p>
        </w:tc>
        <w:tc>
          <w:tcPr>
            <w:tcW w:w="6171" w:type="dxa"/>
            <w:shd w:val="clear" w:color="auto" w:fill="auto"/>
          </w:tcPr>
          <w:p w:rsidR="00D65EFE" w:rsidRPr="00AB04EE" w:rsidRDefault="00D65EFE" w:rsidP="00924CA2">
            <w:pPr>
              <w:rPr>
                <w:rFonts w:cstheme="minorHAnsi"/>
              </w:rPr>
            </w:pPr>
            <w:r>
              <w:rPr>
                <w:rFonts w:cstheme="minorHAnsi"/>
                <w:lang w:val="en"/>
              </w:rPr>
              <w:t xml:space="preserve">Defines </w:t>
            </w:r>
            <w:r w:rsidRPr="00AB04EE">
              <w:rPr>
                <w:rFonts w:cstheme="minorHAnsi"/>
                <w:lang w:val="en"/>
              </w:rPr>
              <w:t>legal responsibilities for the duty of care for waste, contaminated land and statutory nuisance.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Systems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44</w:t>
            </w:r>
            <w:r w:rsidR="0006076F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Trade Effluent (Prescribed Processes and Substances) Regulations 1992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We must stop any harmful substance entering natural water courses or foul and where necessary a permit is required to discharge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 &amp; Inspections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45</w:t>
            </w:r>
            <w:r w:rsidR="00A2698D">
              <w:rPr>
                <w:rFonts w:cstheme="minorHAnsi"/>
                <w:b/>
                <w:sz w:val="32"/>
                <w:szCs w:val="32"/>
              </w:rPr>
              <w:t>ˆ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Town and Country Planning (Trees) Regulations 1999 (amended 2008)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Ensures certain trees are protected and that the correct procedures are followed and authorised before works commence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Waste Electrical &amp; Elect</w:t>
            </w:r>
            <w:r w:rsidR="008C0696">
              <w:t xml:space="preserve">ronic Equipment Regulations 2013 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 waste electrical goods are sent to an authorised site</w:t>
            </w:r>
            <w:r w:rsidR="00D45904">
              <w:t xml:space="preserve"> for disposal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systems, waste transfer notes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System, site audits and management inspections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Waste (England &amp; Wales) Regulations 2011</w:t>
            </w:r>
            <w:r w:rsidR="00A00A2C">
              <w:t xml:space="preserve"> (as amended 2014)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Ensures that a hierarchy must be followed for waste management and that waste is only moved by authorised persons who know their legal obligations.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systems, waste transfer notes</w:t>
            </w:r>
            <w:r w:rsidR="00A00A2C">
              <w:t xml:space="preserve">, invoices, </w:t>
            </w:r>
            <w:proofErr w:type="spellStart"/>
            <w:r w:rsidR="00A00A2C">
              <w:t>Edoc</w:t>
            </w:r>
            <w:proofErr w:type="spellEnd"/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48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Environment Act 1995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It set up the enforcement authorities to protect the environm</w:t>
            </w:r>
            <w:r w:rsidR="000052AC">
              <w:t xml:space="preserve">ent and regulate businesses- </w:t>
            </w:r>
            <w:r>
              <w:t xml:space="preserve"> needs to comply with legislation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systems, Environmental Policy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D65EFE" w:rsidTr="00924CA2">
        <w:trPr>
          <w:trHeight w:hRule="exact" w:val="567"/>
        </w:trPr>
        <w:tc>
          <w:tcPr>
            <w:tcW w:w="700" w:type="dxa"/>
            <w:shd w:val="clear" w:color="auto" w:fill="auto"/>
          </w:tcPr>
          <w:p w:rsidR="00D65EFE" w:rsidRPr="0070146B" w:rsidRDefault="00D65EFE" w:rsidP="00924CA2">
            <w:pPr>
              <w:jc w:val="center"/>
              <w:rPr>
                <w:b/>
              </w:rPr>
            </w:pPr>
            <w:r w:rsidRPr="0070146B">
              <w:rPr>
                <w:b/>
              </w:rPr>
              <w:t>No.</w:t>
            </w:r>
          </w:p>
        </w:tc>
        <w:tc>
          <w:tcPr>
            <w:tcW w:w="3236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Legislation / Regulation / Order / Code of practice or other</w:t>
            </w:r>
          </w:p>
        </w:tc>
        <w:tc>
          <w:tcPr>
            <w:tcW w:w="6171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it applie</w:t>
            </w:r>
            <w:r>
              <w:rPr>
                <w:b/>
              </w:rPr>
              <w:t>s</w:t>
            </w:r>
            <w:r w:rsidRPr="00424314">
              <w:rPr>
                <w:b/>
              </w:rPr>
              <w:t xml:space="preserve"> </w:t>
            </w:r>
          </w:p>
        </w:tc>
        <w:tc>
          <w:tcPr>
            <w:tcW w:w="3310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Internal documents supporting management and compliance</w:t>
            </w:r>
          </w:p>
        </w:tc>
        <w:tc>
          <w:tcPr>
            <w:tcW w:w="2602" w:type="dxa"/>
            <w:shd w:val="clear" w:color="auto" w:fill="auto"/>
          </w:tcPr>
          <w:p w:rsidR="00D65EFE" w:rsidRPr="00424314" w:rsidRDefault="00D65EFE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compliance is evaluated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jc w:val="center"/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49</w:t>
            </w:r>
            <w:r w:rsidR="0006076F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Wildlife &amp; Countryside Act 1981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Ensures the protection of certain animals and habitats.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Systems, Training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Systems and site audits</w:t>
            </w:r>
          </w:p>
        </w:tc>
      </w:tr>
      <w:tr w:rsidR="00D65EFE" w:rsidTr="00924CA2">
        <w:trPr>
          <w:trHeight w:hRule="exact" w:val="1134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jc w:val="center"/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50</w:t>
            </w:r>
            <w:r w:rsidR="0006076F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>
              <w:t>The Protection of Badgers Act 1992</w:t>
            </w:r>
          </w:p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 xml:space="preserve">Ensures the protection of Badgers 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systems, Training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Systems and site audits</w:t>
            </w:r>
          </w:p>
        </w:tc>
      </w:tr>
      <w:tr w:rsidR="00D65EFE" w:rsidTr="00924CA2">
        <w:trPr>
          <w:trHeight w:hRule="exact" w:val="2835"/>
        </w:trPr>
        <w:tc>
          <w:tcPr>
            <w:tcW w:w="700" w:type="dxa"/>
            <w:shd w:val="clear" w:color="auto" w:fill="auto"/>
          </w:tcPr>
          <w:p w:rsidR="00D65EFE" w:rsidRPr="00165D42" w:rsidRDefault="00D45904" w:rsidP="00924CA2">
            <w:pPr>
              <w:jc w:val="center"/>
              <w:rPr>
                <w:b/>
                <w:sz w:val="32"/>
                <w:szCs w:val="32"/>
              </w:rPr>
            </w:pPr>
            <w:r w:rsidRPr="00165D42"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3236" w:type="dxa"/>
            <w:shd w:val="clear" w:color="auto" w:fill="auto"/>
          </w:tcPr>
          <w:p w:rsidR="00D65EFE" w:rsidRDefault="00D65EFE" w:rsidP="00924CA2">
            <w:r w:rsidRPr="00DA1671">
              <w:t>The Health and Safety (Miscellaneous Amendments) Regulations 2002</w:t>
            </w:r>
          </w:p>
          <w:p w:rsidR="00D65EFE" w:rsidRDefault="00D65EFE" w:rsidP="00924CA2"/>
          <w:p w:rsidR="00D65EFE" w:rsidRDefault="00D65EFE" w:rsidP="00924CA2"/>
          <w:p w:rsidR="00D65EFE" w:rsidRDefault="00D65EFE" w:rsidP="00924CA2"/>
        </w:tc>
        <w:tc>
          <w:tcPr>
            <w:tcW w:w="6171" w:type="dxa"/>
            <w:shd w:val="clear" w:color="auto" w:fill="auto"/>
          </w:tcPr>
          <w:p w:rsidR="00D65EFE" w:rsidRDefault="00D65EFE" w:rsidP="00924CA2">
            <w:r>
              <w:t>Amendments to :</w:t>
            </w:r>
          </w:p>
          <w:p w:rsidR="00B656A3" w:rsidRDefault="00B656A3" w:rsidP="00924CA2"/>
          <w:p w:rsidR="00D65EFE" w:rsidRDefault="00D65EFE" w:rsidP="00924CA2">
            <w:r w:rsidRPr="00DA1671">
              <w:rPr>
                <w:b/>
              </w:rPr>
              <w:t>2.</w:t>
            </w:r>
            <w:r>
              <w:t xml:space="preserve"> Health and Safety (First-Aid) Regulations 1981.</w:t>
            </w:r>
          </w:p>
          <w:p w:rsidR="00D65EFE" w:rsidRDefault="00D65EFE" w:rsidP="00924CA2">
            <w:r w:rsidRPr="00DA1671">
              <w:rPr>
                <w:b/>
              </w:rPr>
              <w:t>3.</w:t>
            </w:r>
            <w:r>
              <w:t xml:space="preserve"> Health and Safety (Display Screen Equipment) Regulations 1992.</w:t>
            </w:r>
          </w:p>
          <w:p w:rsidR="00D65EFE" w:rsidRDefault="00D65EFE" w:rsidP="00924CA2">
            <w:r w:rsidRPr="00DA1671">
              <w:rPr>
                <w:b/>
              </w:rPr>
              <w:t>4.</w:t>
            </w:r>
            <w:r>
              <w:t xml:space="preserve"> Manual Handling Operations Regulations 1992.</w:t>
            </w:r>
          </w:p>
          <w:p w:rsidR="00D65EFE" w:rsidRDefault="00D65EFE" w:rsidP="00924CA2">
            <w:r w:rsidRPr="00DA1671">
              <w:rPr>
                <w:b/>
              </w:rPr>
              <w:t>5.</w:t>
            </w:r>
            <w:r>
              <w:t xml:space="preserve"> The Personal Protective Equipment at Work Regulations 1992.</w:t>
            </w:r>
          </w:p>
          <w:p w:rsidR="00D65EFE" w:rsidRDefault="00D65EFE" w:rsidP="00924CA2">
            <w:r w:rsidRPr="00DA1671">
              <w:rPr>
                <w:b/>
              </w:rPr>
              <w:t>6.</w:t>
            </w:r>
            <w:r>
              <w:t xml:space="preserve"> The Workplace (Health, Safety and Welfare) Regulations 1992.</w:t>
            </w:r>
          </w:p>
          <w:p w:rsidR="00D65EFE" w:rsidRDefault="00D65EFE" w:rsidP="00924CA2">
            <w:r w:rsidRPr="00DA1671">
              <w:rPr>
                <w:b/>
              </w:rPr>
              <w:t>7.</w:t>
            </w:r>
            <w:r>
              <w:t xml:space="preserve"> The Provision and Use of Work Equipment Regulations 1998.</w:t>
            </w:r>
          </w:p>
          <w:p w:rsidR="00D65EFE" w:rsidRDefault="00D65EFE" w:rsidP="00924CA2">
            <w:r w:rsidRPr="00DA1671">
              <w:rPr>
                <w:b/>
              </w:rPr>
              <w:t>8.</w:t>
            </w:r>
            <w:r>
              <w:t>The Lifting Operations and Lifting Equipment Regulations 1998</w:t>
            </w:r>
          </w:p>
        </w:tc>
        <w:tc>
          <w:tcPr>
            <w:tcW w:w="3310" w:type="dxa"/>
            <w:shd w:val="clear" w:color="auto" w:fill="auto"/>
          </w:tcPr>
          <w:p w:rsidR="00D65EFE" w:rsidRDefault="00D65EFE" w:rsidP="00924CA2">
            <w:r>
              <w:t>Management systems, Training</w:t>
            </w:r>
          </w:p>
        </w:tc>
        <w:tc>
          <w:tcPr>
            <w:tcW w:w="2602" w:type="dxa"/>
            <w:shd w:val="clear" w:color="auto" w:fill="auto"/>
          </w:tcPr>
          <w:p w:rsidR="00D65EFE" w:rsidRDefault="00D65EFE" w:rsidP="00924CA2">
            <w:r>
              <w:t>System and site audits</w:t>
            </w:r>
          </w:p>
        </w:tc>
      </w:tr>
      <w:tr w:rsidR="00572E8C" w:rsidTr="00924CA2">
        <w:trPr>
          <w:trHeight w:hRule="exact" w:val="1260"/>
        </w:trPr>
        <w:tc>
          <w:tcPr>
            <w:tcW w:w="700" w:type="dxa"/>
            <w:shd w:val="clear" w:color="auto" w:fill="auto"/>
          </w:tcPr>
          <w:p w:rsidR="00572E8C" w:rsidRPr="00165D42" w:rsidRDefault="00572E8C" w:rsidP="00924C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</w:t>
            </w:r>
          </w:p>
        </w:tc>
        <w:tc>
          <w:tcPr>
            <w:tcW w:w="3236" w:type="dxa"/>
            <w:shd w:val="clear" w:color="auto" w:fill="auto"/>
          </w:tcPr>
          <w:p w:rsidR="00572E8C" w:rsidRPr="00DA1671" w:rsidRDefault="00572E8C" w:rsidP="00924CA2">
            <w:r>
              <w:t xml:space="preserve">The Control of Pollution (Oil Storage) Regulations 2001 </w:t>
            </w:r>
          </w:p>
        </w:tc>
        <w:tc>
          <w:tcPr>
            <w:tcW w:w="6171" w:type="dxa"/>
            <w:shd w:val="clear" w:color="auto" w:fill="auto"/>
          </w:tcPr>
          <w:p w:rsidR="00572E8C" w:rsidRDefault="00572E8C" w:rsidP="00924CA2">
            <w:r>
              <w:t xml:space="preserve">Applies to oil stored externally, above ground with a capacity of over 200L. The regulations specify </w:t>
            </w:r>
            <w:proofErr w:type="spellStart"/>
            <w:r>
              <w:t>bunding</w:t>
            </w:r>
            <w:proofErr w:type="spellEnd"/>
            <w:r>
              <w:t xml:space="preserve"> requirements</w:t>
            </w:r>
          </w:p>
        </w:tc>
        <w:tc>
          <w:tcPr>
            <w:tcW w:w="3310" w:type="dxa"/>
            <w:shd w:val="clear" w:color="auto" w:fill="auto"/>
          </w:tcPr>
          <w:p w:rsidR="00572E8C" w:rsidRDefault="00572E8C" w:rsidP="00924CA2">
            <w:r>
              <w:t>Management systems, Training</w:t>
            </w:r>
          </w:p>
        </w:tc>
        <w:tc>
          <w:tcPr>
            <w:tcW w:w="2602" w:type="dxa"/>
            <w:shd w:val="clear" w:color="auto" w:fill="auto"/>
          </w:tcPr>
          <w:p w:rsidR="00572E8C" w:rsidRDefault="00572E8C" w:rsidP="00924CA2">
            <w:r>
              <w:t>System and site audits</w:t>
            </w:r>
          </w:p>
        </w:tc>
      </w:tr>
      <w:tr w:rsidR="00F74A9E" w:rsidTr="00924CA2">
        <w:trPr>
          <w:trHeight w:hRule="exact" w:val="1279"/>
        </w:trPr>
        <w:tc>
          <w:tcPr>
            <w:tcW w:w="700" w:type="dxa"/>
            <w:shd w:val="clear" w:color="auto" w:fill="auto"/>
          </w:tcPr>
          <w:p w:rsidR="00F74A9E" w:rsidRDefault="00F74A9E" w:rsidP="00924C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</w:t>
            </w:r>
            <w:r w:rsidR="0057055B" w:rsidRPr="00B656A3">
              <w:rPr>
                <w:rFonts w:cstheme="minorHAnsi"/>
                <w:b/>
                <w:sz w:val="32"/>
                <w:szCs w:val="32"/>
              </w:rPr>
              <w:t>¨</w:t>
            </w:r>
          </w:p>
        </w:tc>
        <w:tc>
          <w:tcPr>
            <w:tcW w:w="3236" w:type="dxa"/>
            <w:shd w:val="clear" w:color="auto" w:fill="auto"/>
          </w:tcPr>
          <w:p w:rsidR="00F74A9E" w:rsidRDefault="00F74A9E" w:rsidP="00924CA2">
            <w:r>
              <w:t xml:space="preserve">The Plant Protection Products </w:t>
            </w:r>
            <w:r w:rsidR="004B12CA">
              <w:t xml:space="preserve">2011 &amp; The Plant Protection Products </w:t>
            </w:r>
            <w:r>
              <w:t>(Sustainable Use) Regulations 2012</w:t>
            </w:r>
          </w:p>
        </w:tc>
        <w:tc>
          <w:tcPr>
            <w:tcW w:w="6171" w:type="dxa"/>
            <w:shd w:val="clear" w:color="auto" w:fill="auto"/>
          </w:tcPr>
          <w:p w:rsidR="00F74A9E" w:rsidRDefault="004B12CA" w:rsidP="00924CA2">
            <w:r>
              <w:t>Details requirements for the use of herbicides - Expands on the Control of Pesticides Regulations 1986</w:t>
            </w:r>
          </w:p>
        </w:tc>
        <w:tc>
          <w:tcPr>
            <w:tcW w:w="3310" w:type="dxa"/>
            <w:shd w:val="clear" w:color="auto" w:fill="auto"/>
          </w:tcPr>
          <w:p w:rsidR="00F74A9E" w:rsidRDefault="004B12CA" w:rsidP="00924CA2">
            <w:r>
              <w:t>Management systems, Training</w:t>
            </w:r>
          </w:p>
        </w:tc>
        <w:tc>
          <w:tcPr>
            <w:tcW w:w="2602" w:type="dxa"/>
            <w:shd w:val="clear" w:color="auto" w:fill="auto"/>
          </w:tcPr>
          <w:p w:rsidR="00F74A9E" w:rsidRDefault="004B12CA" w:rsidP="00924CA2">
            <w:r>
              <w:t>System and site audits</w:t>
            </w:r>
          </w:p>
        </w:tc>
      </w:tr>
      <w:tr w:rsidR="00924CA2" w:rsidTr="00924CA2">
        <w:tc>
          <w:tcPr>
            <w:tcW w:w="700" w:type="dxa"/>
            <w:shd w:val="clear" w:color="auto" w:fill="auto"/>
          </w:tcPr>
          <w:p w:rsidR="00924CA2" w:rsidRDefault="00924CA2" w:rsidP="00924CA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36" w:type="dxa"/>
            <w:shd w:val="clear" w:color="auto" w:fill="auto"/>
          </w:tcPr>
          <w:p w:rsidR="00924CA2" w:rsidRDefault="00924CA2" w:rsidP="00924CA2"/>
        </w:tc>
        <w:tc>
          <w:tcPr>
            <w:tcW w:w="6171" w:type="dxa"/>
            <w:shd w:val="clear" w:color="auto" w:fill="auto"/>
          </w:tcPr>
          <w:p w:rsidR="00924CA2" w:rsidRDefault="00924CA2" w:rsidP="00924CA2"/>
        </w:tc>
        <w:tc>
          <w:tcPr>
            <w:tcW w:w="3310" w:type="dxa"/>
            <w:shd w:val="clear" w:color="auto" w:fill="auto"/>
          </w:tcPr>
          <w:p w:rsidR="00924CA2" w:rsidRDefault="00924CA2" w:rsidP="00924CA2"/>
        </w:tc>
        <w:tc>
          <w:tcPr>
            <w:tcW w:w="2602" w:type="dxa"/>
            <w:shd w:val="clear" w:color="auto" w:fill="auto"/>
          </w:tcPr>
          <w:p w:rsidR="00924CA2" w:rsidRDefault="00924CA2" w:rsidP="00924CA2"/>
        </w:tc>
      </w:tr>
      <w:tr w:rsidR="0076623B" w:rsidTr="00924CA2">
        <w:trPr>
          <w:trHeight w:hRule="exact" w:val="567"/>
        </w:trPr>
        <w:tc>
          <w:tcPr>
            <w:tcW w:w="700" w:type="dxa"/>
            <w:shd w:val="clear" w:color="auto" w:fill="auto"/>
          </w:tcPr>
          <w:p w:rsidR="0076623B" w:rsidRPr="0070146B" w:rsidRDefault="0076623B" w:rsidP="00924CA2">
            <w:pPr>
              <w:jc w:val="center"/>
              <w:rPr>
                <w:b/>
              </w:rPr>
            </w:pPr>
            <w:r w:rsidRPr="0070146B">
              <w:rPr>
                <w:b/>
              </w:rPr>
              <w:t>No.</w:t>
            </w:r>
          </w:p>
        </w:tc>
        <w:tc>
          <w:tcPr>
            <w:tcW w:w="3236" w:type="dxa"/>
            <w:shd w:val="clear" w:color="auto" w:fill="auto"/>
          </w:tcPr>
          <w:p w:rsidR="0076623B" w:rsidRPr="00424314" w:rsidRDefault="0076623B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Legislation / Regulation / Order / Code of practice or other</w:t>
            </w:r>
          </w:p>
        </w:tc>
        <w:tc>
          <w:tcPr>
            <w:tcW w:w="6171" w:type="dxa"/>
            <w:shd w:val="clear" w:color="auto" w:fill="auto"/>
          </w:tcPr>
          <w:p w:rsidR="0076623B" w:rsidRPr="00424314" w:rsidRDefault="0076623B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it applie</w:t>
            </w:r>
            <w:r>
              <w:rPr>
                <w:b/>
              </w:rPr>
              <w:t>s</w:t>
            </w:r>
            <w:r w:rsidRPr="00424314">
              <w:rPr>
                <w:b/>
              </w:rPr>
              <w:t xml:space="preserve"> </w:t>
            </w:r>
          </w:p>
        </w:tc>
        <w:tc>
          <w:tcPr>
            <w:tcW w:w="3310" w:type="dxa"/>
            <w:shd w:val="clear" w:color="auto" w:fill="auto"/>
          </w:tcPr>
          <w:p w:rsidR="0076623B" w:rsidRPr="00424314" w:rsidRDefault="0076623B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Internal documents supporting management and compliance</w:t>
            </w:r>
          </w:p>
        </w:tc>
        <w:tc>
          <w:tcPr>
            <w:tcW w:w="2602" w:type="dxa"/>
            <w:shd w:val="clear" w:color="auto" w:fill="auto"/>
          </w:tcPr>
          <w:p w:rsidR="0076623B" w:rsidRPr="00424314" w:rsidRDefault="0076623B" w:rsidP="00924CA2">
            <w:pPr>
              <w:jc w:val="center"/>
              <w:rPr>
                <w:b/>
              </w:rPr>
            </w:pPr>
            <w:r w:rsidRPr="00424314">
              <w:rPr>
                <w:b/>
              </w:rPr>
              <w:t>How compliance is evaluated</w:t>
            </w:r>
          </w:p>
        </w:tc>
      </w:tr>
      <w:tr w:rsidR="00F6153B" w:rsidTr="00924CA2">
        <w:trPr>
          <w:trHeight w:hRule="exact" w:val="1279"/>
        </w:trPr>
        <w:tc>
          <w:tcPr>
            <w:tcW w:w="700" w:type="dxa"/>
            <w:shd w:val="clear" w:color="auto" w:fill="auto"/>
          </w:tcPr>
          <w:p w:rsidR="00F6153B" w:rsidRDefault="00F6153B" w:rsidP="00924C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3236" w:type="dxa"/>
            <w:shd w:val="clear" w:color="auto" w:fill="auto"/>
          </w:tcPr>
          <w:p w:rsidR="00F6153B" w:rsidRPr="00F6153B" w:rsidRDefault="00F6153B" w:rsidP="00924CA2">
            <w:pPr>
              <w:pStyle w:val="Heading5"/>
              <w:outlineLvl w:val="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F6153B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Disclosure &amp; Barring Regulations 2012</w:t>
            </w:r>
          </w:p>
          <w:p w:rsidR="00F6153B" w:rsidRDefault="00F6153B" w:rsidP="00924CA2"/>
        </w:tc>
        <w:tc>
          <w:tcPr>
            <w:tcW w:w="6171" w:type="dxa"/>
            <w:shd w:val="clear" w:color="auto" w:fill="auto"/>
          </w:tcPr>
          <w:p w:rsidR="00F6153B" w:rsidRPr="00F6153B" w:rsidRDefault="00F6153B" w:rsidP="00924CA2">
            <w:pPr>
              <w:pStyle w:val="NormalWeb"/>
              <w:spacing w:before="0" w:beforeAutospacing="0" w:after="0" w:afterAutospacing="0"/>
            </w:pPr>
            <w:r w:rsidRPr="00F6153B">
              <w:rPr>
                <w:rFonts w:asciiTheme="minorHAnsi" w:hAnsiTheme="minorHAnsi" w:cs="Arial"/>
                <w:iCs/>
                <w:sz w:val="22"/>
                <w:szCs w:val="22"/>
              </w:rPr>
              <w:t xml:space="preserve">Allows registered employers to access the </w:t>
            </w:r>
            <w:r w:rsidRPr="00F6153B">
              <w:rPr>
                <w:rFonts w:asciiTheme="minorHAnsi" w:hAnsiTheme="minorHAnsi" w:cs="Arial"/>
                <w:iCs/>
                <w:sz w:val="22"/>
                <w:szCs w:val="22"/>
                <w:lang w:val="en"/>
              </w:rPr>
              <w:t xml:space="preserve">DBS checking service to ask ‘an exempted question’ of an individual who applies for or when the individual will be working in specific occupations, for certain licenses and specified positions. </w:t>
            </w:r>
          </w:p>
        </w:tc>
        <w:tc>
          <w:tcPr>
            <w:tcW w:w="3310" w:type="dxa"/>
            <w:shd w:val="clear" w:color="auto" w:fill="auto"/>
          </w:tcPr>
          <w:p w:rsidR="00F6153B" w:rsidRDefault="00F6153B" w:rsidP="00924CA2">
            <w:r>
              <w:t>DBS Documentation and Management systems</w:t>
            </w:r>
          </w:p>
        </w:tc>
        <w:tc>
          <w:tcPr>
            <w:tcW w:w="2602" w:type="dxa"/>
            <w:shd w:val="clear" w:color="auto" w:fill="auto"/>
          </w:tcPr>
          <w:p w:rsidR="00F6153B" w:rsidRDefault="00F6153B" w:rsidP="00924CA2">
            <w:r>
              <w:t>System and site audits.</w:t>
            </w:r>
          </w:p>
        </w:tc>
      </w:tr>
      <w:tr w:rsidR="00F6153B" w:rsidTr="00924CA2">
        <w:trPr>
          <w:trHeight w:hRule="exact" w:val="1279"/>
        </w:trPr>
        <w:tc>
          <w:tcPr>
            <w:tcW w:w="700" w:type="dxa"/>
            <w:shd w:val="clear" w:color="auto" w:fill="auto"/>
          </w:tcPr>
          <w:p w:rsidR="00F6153B" w:rsidRDefault="00F6153B" w:rsidP="00924C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3236" w:type="dxa"/>
            <w:shd w:val="clear" w:color="auto" w:fill="auto"/>
          </w:tcPr>
          <w:p w:rsidR="00F6153B" w:rsidRPr="00F6153B" w:rsidRDefault="00F6153B" w:rsidP="00924CA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Environmental P</w:t>
            </w:r>
            <w:r w:rsidRPr="00F6153B">
              <w:rPr>
                <w:rFonts w:cs="Arial"/>
                <w:bCs/>
                <w:iCs/>
              </w:rPr>
              <w:t>rotection (Control on Ozone Depleting Substances) Regulations 2011</w:t>
            </w:r>
          </w:p>
          <w:p w:rsidR="00F6153B" w:rsidRPr="00F6153B" w:rsidRDefault="00F6153B" w:rsidP="00924CA2">
            <w:pPr>
              <w:pStyle w:val="Heading5"/>
              <w:outlineLvl w:val="4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6171" w:type="dxa"/>
            <w:shd w:val="clear" w:color="auto" w:fill="auto"/>
          </w:tcPr>
          <w:p w:rsidR="00F6153B" w:rsidRPr="00F6153B" w:rsidRDefault="00F6153B" w:rsidP="00924CA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We must take step</w:t>
            </w:r>
            <w:r w:rsidR="0076623B">
              <w:rPr>
                <w:rFonts w:asciiTheme="minorHAnsi" w:hAnsiTheme="minorHAnsi" w:cs="Arial"/>
                <w:iCs/>
                <w:sz w:val="22"/>
                <w:szCs w:val="22"/>
              </w:rPr>
              <w:t>s</w:t>
            </w:r>
            <w:r>
              <w:rPr>
                <w:rFonts w:asciiTheme="minorHAnsi" w:hAnsiTheme="minorHAnsi" w:cs="Arial"/>
                <w:iCs/>
                <w:sz w:val="22"/>
                <w:szCs w:val="22"/>
              </w:rPr>
              <w:t xml:space="preserve"> to prevent the leakage of the gases used in our air conditioning system and where applicable ensure it is tested at a specified frequency.</w:t>
            </w:r>
          </w:p>
        </w:tc>
        <w:tc>
          <w:tcPr>
            <w:tcW w:w="3310" w:type="dxa"/>
            <w:shd w:val="clear" w:color="auto" w:fill="auto"/>
          </w:tcPr>
          <w:p w:rsidR="00F6153B" w:rsidRDefault="0076623B" w:rsidP="00924CA2">
            <w:r>
              <w:t>Service records &amp; schedules</w:t>
            </w:r>
          </w:p>
        </w:tc>
        <w:tc>
          <w:tcPr>
            <w:tcW w:w="2602" w:type="dxa"/>
            <w:shd w:val="clear" w:color="auto" w:fill="auto"/>
          </w:tcPr>
          <w:p w:rsidR="00F6153B" w:rsidRDefault="0076623B" w:rsidP="00924CA2">
            <w:r>
              <w:t>System and site audits.</w:t>
            </w:r>
          </w:p>
        </w:tc>
      </w:tr>
      <w:tr w:rsidR="005770B5" w:rsidTr="00924CA2">
        <w:trPr>
          <w:trHeight w:hRule="exact" w:val="1279"/>
        </w:trPr>
        <w:tc>
          <w:tcPr>
            <w:tcW w:w="700" w:type="dxa"/>
            <w:shd w:val="clear" w:color="auto" w:fill="auto"/>
          </w:tcPr>
          <w:p w:rsidR="005770B5" w:rsidRDefault="005770B5" w:rsidP="00924C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3236" w:type="dxa"/>
            <w:shd w:val="clear" w:color="auto" w:fill="auto"/>
          </w:tcPr>
          <w:p w:rsidR="005770B5" w:rsidRDefault="004169A5" w:rsidP="00924CA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Waste (England and Wales) (Amendment) Regulations 2012</w:t>
            </w:r>
          </w:p>
          <w:p w:rsidR="004169A5" w:rsidRDefault="004169A5" w:rsidP="00924CA2">
            <w:pPr>
              <w:rPr>
                <w:rFonts w:cs="Arial"/>
                <w:bCs/>
                <w:iCs/>
              </w:rPr>
            </w:pPr>
          </w:p>
        </w:tc>
        <w:tc>
          <w:tcPr>
            <w:tcW w:w="6171" w:type="dxa"/>
            <w:shd w:val="clear" w:color="auto" w:fill="auto"/>
          </w:tcPr>
          <w:p w:rsidR="005770B5" w:rsidRDefault="004169A5" w:rsidP="00924CA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 xml:space="preserve">Requirement to separate and segregate waste for collection </w:t>
            </w:r>
            <w:r w:rsidRPr="004169A5">
              <w:rPr>
                <w:rFonts w:asciiTheme="minorHAnsi" w:hAnsiTheme="minorHAnsi" w:cs="Arial"/>
                <w:iCs/>
                <w:sz w:val="22"/>
                <w:szCs w:val="22"/>
              </w:rPr>
              <w:t>provided it is technically, environmentally and economically practicable (TEEP)</w:t>
            </w:r>
            <w:r>
              <w:rPr>
                <w:rFonts w:asciiTheme="minorHAnsi" w:hAnsiTheme="minorHAnsi" w:cs="Arial"/>
                <w:iCs/>
                <w:sz w:val="22"/>
                <w:szCs w:val="22"/>
              </w:rPr>
              <w:t>.</w:t>
            </w:r>
          </w:p>
        </w:tc>
        <w:tc>
          <w:tcPr>
            <w:tcW w:w="3310" w:type="dxa"/>
            <w:shd w:val="clear" w:color="auto" w:fill="auto"/>
          </w:tcPr>
          <w:p w:rsidR="005770B5" w:rsidRDefault="004169A5" w:rsidP="00924CA2">
            <w:r>
              <w:t>Waste Transfer Notes</w:t>
            </w:r>
          </w:p>
        </w:tc>
        <w:tc>
          <w:tcPr>
            <w:tcW w:w="2602" w:type="dxa"/>
            <w:shd w:val="clear" w:color="auto" w:fill="auto"/>
          </w:tcPr>
          <w:p w:rsidR="005770B5" w:rsidRDefault="004169A5" w:rsidP="00924CA2">
            <w:r>
              <w:t>System and site audits.</w:t>
            </w:r>
          </w:p>
        </w:tc>
      </w:tr>
      <w:tr w:rsidR="004169A5" w:rsidTr="00924CA2">
        <w:trPr>
          <w:trHeight w:hRule="exact" w:val="1279"/>
        </w:trPr>
        <w:tc>
          <w:tcPr>
            <w:tcW w:w="700" w:type="dxa"/>
            <w:shd w:val="clear" w:color="auto" w:fill="auto"/>
          </w:tcPr>
          <w:p w:rsidR="004169A5" w:rsidRDefault="004169A5" w:rsidP="00924C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3236" w:type="dxa"/>
            <w:shd w:val="clear" w:color="auto" w:fill="auto"/>
          </w:tcPr>
          <w:p w:rsidR="004169A5" w:rsidRDefault="004169A5" w:rsidP="00924CA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The Health and Safety (Miscellaneous Revocations and Amendments) Regulations 2013</w:t>
            </w:r>
          </w:p>
        </w:tc>
        <w:tc>
          <w:tcPr>
            <w:tcW w:w="6171" w:type="dxa"/>
            <w:shd w:val="clear" w:color="auto" w:fill="auto"/>
          </w:tcPr>
          <w:p w:rsidR="004169A5" w:rsidRDefault="004169A5" w:rsidP="00924CA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 xml:space="preserve">First Aid courses are no longer approved </w:t>
            </w:r>
            <w:r w:rsidR="000052AC">
              <w:rPr>
                <w:rFonts w:asciiTheme="minorHAnsi" w:hAnsiTheme="minorHAnsi" w:cs="Arial"/>
                <w:iCs/>
                <w:sz w:val="22"/>
                <w:szCs w:val="22"/>
              </w:rPr>
              <w:t>by the HSE it is now down to us</w:t>
            </w:r>
            <w:bookmarkStart w:id="0" w:name="_GoBack"/>
            <w:bookmarkEnd w:id="0"/>
            <w:r>
              <w:rPr>
                <w:rFonts w:asciiTheme="minorHAnsi" w:hAnsiTheme="minorHAnsi" w:cs="Arial"/>
                <w:iCs/>
                <w:sz w:val="22"/>
                <w:szCs w:val="22"/>
              </w:rPr>
              <w:t xml:space="preserve"> to ensure any first aid training is suitable.</w:t>
            </w:r>
          </w:p>
        </w:tc>
        <w:tc>
          <w:tcPr>
            <w:tcW w:w="3310" w:type="dxa"/>
            <w:shd w:val="clear" w:color="auto" w:fill="auto"/>
          </w:tcPr>
          <w:p w:rsidR="004169A5" w:rsidRDefault="004169A5" w:rsidP="00924CA2">
            <w:r>
              <w:t>Training Certification</w:t>
            </w:r>
          </w:p>
        </w:tc>
        <w:tc>
          <w:tcPr>
            <w:tcW w:w="2602" w:type="dxa"/>
            <w:shd w:val="clear" w:color="auto" w:fill="auto"/>
          </w:tcPr>
          <w:p w:rsidR="004169A5" w:rsidRDefault="004169A5" w:rsidP="00924CA2">
            <w:r>
              <w:t>System and site audits.</w:t>
            </w:r>
          </w:p>
        </w:tc>
      </w:tr>
      <w:tr w:rsidR="004169A5" w:rsidTr="00924CA2">
        <w:trPr>
          <w:trHeight w:hRule="exact" w:val="1279"/>
        </w:trPr>
        <w:tc>
          <w:tcPr>
            <w:tcW w:w="700" w:type="dxa"/>
            <w:shd w:val="clear" w:color="auto" w:fill="auto"/>
          </w:tcPr>
          <w:p w:rsidR="004169A5" w:rsidRDefault="004169A5" w:rsidP="00924C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58</w:t>
            </w:r>
          </w:p>
        </w:tc>
        <w:tc>
          <w:tcPr>
            <w:tcW w:w="3236" w:type="dxa"/>
            <w:shd w:val="clear" w:color="auto" w:fill="auto"/>
          </w:tcPr>
          <w:p w:rsidR="004169A5" w:rsidRDefault="004169A5" w:rsidP="00924CA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The Energy Savings Opportunity Scheme Regulations 2014</w:t>
            </w:r>
          </w:p>
        </w:tc>
        <w:tc>
          <w:tcPr>
            <w:tcW w:w="6171" w:type="dxa"/>
            <w:shd w:val="clear" w:color="auto" w:fill="auto"/>
          </w:tcPr>
          <w:p w:rsidR="004169A5" w:rsidRDefault="004169A5" w:rsidP="00924CA2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Cs/>
                <w:sz w:val="22"/>
                <w:szCs w:val="22"/>
              </w:rPr>
              <w:t>Requirement to measure energy consumption and implement saving initiatives.</w:t>
            </w:r>
          </w:p>
        </w:tc>
        <w:tc>
          <w:tcPr>
            <w:tcW w:w="3310" w:type="dxa"/>
            <w:shd w:val="clear" w:color="auto" w:fill="auto"/>
          </w:tcPr>
          <w:p w:rsidR="004169A5" w:rsidRDefault="004169A5" w:rsidP="00924CA2">
            <w:r>
              <w:t>Evidence Pack</w:t>
            </w:r>
          </w:p>
        </w:tc>
        <w:tc>
          <w:tcPr>
            <w:tcW w:w="2602" w:type="dxa"/>
            <w:shd w:val="clear" w:color="auto" w:fill="auto"/>
          </w:tcPr>
          <w:p w:rsidR="004169A5" w:rsidRDefault="004169A5" w:rsidP="00924CA2">
            <w:r>
              <w:t>Assessed by independent ESOS Assessor</w:t>
            </w:r>
          </w:p>
        </w:tc>
      </w:tr>
      <w:tr w:rsidR="004169A5" w:rsidTr="00924CA2">
        <w:trPr>
          <w:trHeight w:hRule="exact" w:val="567"/>
        </w:trPr>
        <w:tc>
          <w:tcPr>
            <w:tcW w:w="16019" w:type="dxa"/>
            <w:gridSpan w:val="5"/>
            <w:shd w:val="clear" w:color="auto" w:fill="auto"/>
          </w:tcPr>
          <w:p w:rsidR="004169A5" w:rsidRPr="00A2698D" w:rsidRDefault="004169A5" w:rsidP="00924CA2">
            <w:pPr>
              <w:jc w:val="center"/>
              <w:rPr>
                <w:b/>
              </w:rPr>
            </w:pPr>
            <w:r w:rsidRPr="00A2698D">
              <w:rPr>
                <w:b/>
              </w:rPr>
              <w:t>Site Applicability Key</w:t>
            </w:r>
          </w:p>
        </w:tc>
      </w:tr>
      <w:tr w:rsidR="004169A5" w:rsidTr="00924CA2">
        <w:trPr>
          <w:trHeight w:hRule="exact" w:val="340"/>
        </w:trPr>
        <w:tc>
          <w:tcPr>
            <w:tcW w:w="700" w:type="dxa"/>
            <w:shd w:val="clear" w:color="auto" w:fill="auto"/>
          </w:tcPr>
          <w:p w:rsidR="004169A5" w:rsidRPr="00B656A3" w:rsidRDefault="004169A5" w:rsidP="00924CA2">
            <w:pPr>
              <w:rPr>
                <w:b/>
                <w:sz w:val="32"/>
                <w:szCs w:val="32"/>
              </w:rPr>
            </w:pPr>
            <w:r w:rsidRPr="00B656A3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5319" w:type="dxa"/>
            <w:gridSpan w:val="4"/>
            <w:shd w:val="clear" w:color="auto" w:fill="auto"/>
          </w:tcPr>
          <w:p w:rsidR="004169A5" w:rsidRDefault="004169A5" w:rsidP="00924CA2">
            <w:r>
              <w:t xml:space="preserve">Applicable to all sites except to Headquarters </w:t>
            </w:r>
          </w:p>
        </w:tc>
      </w:tr>
      <w:tr w:rsidR="004169A5" w:rsidTr="00924CA2">
        <w:trPr>
          <w:trHeight w:hRule="exact" w:val="340"/>
        </w:trPr>
        <w:tc>
          <w:tcPr>
            <w:tcW w:w="700" w:type="dxa"/>
            <w:shd w:val="clear" w:color="auto" w:fill="auto"/>
          </w:tcPr>
          <w:p w:rsidR="004169A5" w:rsidRPr="00B656A3" w:rsidRDefault="004169A5" w:rsidP="00924CA2">
            <w:pPr>
              <w:rPr>
                <w:b/>
                <w:sz w:val="32"/>
                <w:szCs w:val="32"/>
              </w:rPr>
            </w:pPr>
            <w:r w:rsidRPr="00B656A3">
              <w:rPr>
                <w:rFonts w:cstheme="minorHAnsi"/>
                <w:b/>
                <w:sz w:val="32"/>
                <w:szCs w:val="32"/>
              </w:rPr>
              <w:t>¨</w:t>
            </w:r>
          </w:p>
        </w:tc>
        <w:tc>
          <w:tcPr>
            <w:tcW w:w="15319" w:type="dxa"/>
            <w:gridSpan w:val="4"/>
            <w:shd w:val="clear" w:color="auto" w:fill="auto"/>
          </w:tcPr>
          <w:p w:rsidR="004169A5" w:rsidRDefault="004169A5" w:rsidP="00924CA2">
            <w:r>
              <w:t>Applicable to Site that use Pesticides, Herbicides, Biocides, Insecticides, algaecides, fungicides etc.</w:t>
            </w:r>
          </w:p>
        </w:tc>
      </w:tr>
      <w:tr w:rsidR="004169A5" w:rsidTr="00924CA2">
        <w:trPr>
          <w:trHeight w:hRule="exact" w:val="340"/>
        </w:trPr>
        <w:tc>
          <w:tcPr>
            <w:tcW w:w="700" w:type="dxa"/>
            <w:shd w:val="clear" w:color="auto" w:fill="auto"/>
          </w:tcPr>
          <w:p w:rsidR="004169A5" w:rsidRPr="00B656A3" w:rsidRDefault="004169A5" w:rsidP="00924CA2">
            <w:pPr>
              <w:rPr>
                <w:b/>
              </w:rPr>
            </w:pPr>
            <w:r>
              <w:rPr>
                <w:rFonts w:cstheme="minorHAnsi"/>
                <w:b/>
                <w:sz w:val="32"/>
                <w:szCs w:val="32"/>
              </w:rPr>
              <w:t>†</w:t>
            </w:r>
          </w:p>
        </w:tc>
        <w:tc>
          <w:tcPr>
            <w:tcW w:w="15319" w:type="dxa"/>
            <w:gridSpan w:val="4"/>
            <w:shd w:val="clear" w:color="auto" w:fill="auto"/>
          </w:tcPr>
          <w:p w:rsidR="004169A5" w:rsidRDefault="004169A5" w:rsidP="00924CA2">
            <w:r>
              <w:t xml:space="preserve">Applicable to Pest control </w:t>
            </w:r>
          </w:p>
        </w:tc>
      </w:tr>
      <w:tr w:rsidR="004169A5" w:rsidTr="00924CA2">
        <w:trPr>
          <w:trHeight w:hRule="exact" w:val="340"/>
        </w:trPr>
        <w:tc>
          <w:tcPr>
            <w:tcW w:w="700" w:type="dxa"/>
            <w:shd w:val="clear" w:color="auto" w:fill="auto"/>
          </w:tcPr>
          <w:p w:rsidR="004169A5" w:rsidRPr="00B656A3" w:rsidRDefault="004169A5" w:rsidP="00924CA2">
            <w:pPr>
              <w:rPr>
                <w:b/>
              </w:rPr>
            </w:pPr>
            <w:r>
              <w:rPr>
                <w:rFonts w:cstheme="minorHAnsi"/>
                <w:b/>
                <w:sz w:val="32"/>
                <w:szCs w:val="32"/>
              </w:rPr>
              <w:t>‡</w:t>
            </w:r>
          </w:p>
        </w:tc>
        <w:tc>
          <w:tcPr>
            <w:tcW w:w="15319" w:type="dxa"/>
            <w:gridSpan w:val="4"/>
            <w:shd w:val="clear" w:color="auto" w:fill="auto"/>
          </w:tcPr>
          <w:p w:rsidR="004169A5" w:rsidRDefault="004169A5" w:rsidP="00924CA2">
            <w:r>
              <w:t>Applicable to sites with air compressors</w:t>
            </w:r>
          </w:p>
        </w:tc>
      </w:tr>
      <w:tr w:rsidR="004169A5" w:rsidTr="00924CA2">
        <w:trPr>
          <w:trHeight w:hRule="exact" w:val="340"/>
        </w:trPr>
        <w:tc>
          <w:tcPr>
            <w:tcW w:w="700" w:type="dxa"/>
            <w:shd w:val="clear" w:color="auto" w:fill="auto"/>
          </w:tcPr>
          <w:p w:rsidR="004169A5" w:rsidRPr="00B656A3" w:rsidRDefault="004169A5" w:rsidP="00924CA2">
            <w:pPr>
              <w:rPr>
                <w:b/>
              </w:rPr>
            </w:pPr>
            <w:r>
              <w:rPr>
                <w:rFonts w:cstheme="minorHAnsi"/>
                <w:b/>
                <w:sz w:val="32"/>
                <w:szCs w:val="32"/>
              </w:rPr>
              <w:t>ˆ</w:t>
            </w:r>
          </w:p>
        </w:tc>
        <w:tc>
          <w:tcPr>
            <w:tcW w:w="15319" w:type="dxa"/>
            <w:gridSpan w:val="4"/>
            <w:shd w:val="clear" w:color="auto" w:fill="auto"/>
          </w:tcPr>
          <w:p w:rsidR="004169A5" w:rsidRDefault="004169A5" w:rsidP="00924CA2">
            <w:r>
              <w:t>Applicable to site where tree works takes place</w:t>
            </w:r>
          </w:p>
        </w:tc>
      </w:tr>
      <w:tr w:rsidR="004169A5" w:rsidTr="00924CA2">
        <w:trPr>
          <w:trHeight w:hRule="exact" w:val="340"/>
        </w:trPr>
        <w:tc>
          <w:tcPr>
            <w:tcW w:w="700" w:type="dxa"/>
            <w:shd w:val="clear" w:color="auto" w:fill="auto"/>
          </w:tcPr>
          <w:p w:rsidR="004169A5" w:rsidRPr="00B656A3" w:rsidRDefault="004169A5" w:rsidP="00924CA2">
            <w:pPr>
              <w:rPr>
                <w:b/>
              </w:rPr>
            </w:pPr>
            <w:r>
              <w:rPr>
                <w:rFonts w:cstheme="minorHAnsi"/>
                <w:b/>
                <w:sz w:val="32"/>
                <w:szCs w:val="32"/>
              </w:rPr>
              <w:t>•</w:t>
            </w:r>
          </w:p>
        </w:tc>
        <w:tc>
          <w:tcPr>
            <w:tcW w:w="15319" w:type="dxa"/>
            <w:gridSpan w:val="4"/>
            <w:shd w:val="clear" w:color="auto" w:fill="auto"/>
          </w:tcPr>
          <w:p w:rsidR="004169A5" w:rsidRDefault="004169A5" w:rsidP="00924CA2">
            <w:r>
              <w:t>Applicable to sites where Display Screen Equipment  is used (PC Monitors)</w:t>
            </w:r>
          </w:p>
        </w:tc>
      </w:tr>
    </w:tbl>
    <w:p w:rsidR="000D5C9F" w:rsidRPr="006711A5" w:rsidRDefault="000D5C9F" w:rsidP="00924CA2">
      <w:pPr>
        <w:tabs>
          <w:tab w:val="left" w:pos="4822"/>
        </w:tabs>
      </w:pPr>
    </w:p>
    <w:sectPr w:rsidR="000D5C9F" w:rsidRPr="006711A5" w:rsidSect="00924CA2">
      <w:headerReference w:type="default" r:id="rId9"/>
      <w:footerReference w:type="default" r:id="rId10"/>
      <w:pgSz w:w="16838" w:h="11906" w:orient="landscape"/>
      <w:pgMar w:top="1564" w:right="1440" w:bottom="1440" w:left="1440" w:header="284" w:footer="280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9E" w:rsidRDefault="00F74A9E" w:rsidP="00287713">
      <w:pPr>
        <w:spacing w:after="0" w:line="240" w:lineRule="auto"/>
      </w:pPr>
      <w:r>
        <w:separator/>
      </w:r>
    </w:p>
  </w:endnote>
  <w:endnote w:type="continuationSeparator" w:id="0">
    <w:p w:rsidR="00F74A9E" w:rsidRDefault="00F74A9E" w:rsidP="0028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2340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74A9E" w:rsidRDefault="00F74A9E" w:rsidP="00B42EE3">
            <w:pPr>
              <w:pStyle w:val="Footer"/>
            </w:pPr>
          </w:p>
          <w:p w:rsidR="00F74A9E" w:rsidRDefault="00F74A9E" w:rsidP="00B42EE3">
            <w:pPr>
              <w:pStyle w:val="Footer"/>
              <w:tabs>
                <w:tab w:val="clear" w:pos="9026"/>
                <w:tab w:val="right" w:pos="9639"/>
              </w:tabs>
              <w:ind w:right="-613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52A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52A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4A9E" w:rsidRDefault="00F74A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9E" w:rsidRDefault="00F74A9E" w:rsidP="00287713">
      <w:pPr>
        <w:spacing w:after="0" w:line="240" w:lineRule="auto"/>
      </w:pPr>
      <w:r>
        <w:separator/>
      </w:r>
    </w:p>
  </w:footnote>
  <w:footnote w:type="continuationSeparator" w:id="0">
    <w:p w:rsidR="00F74A9E" w:rsidRDefault="00F74A9E" w:rsidP="00287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9E" w:rsidRDefault="00924CA2" w:rsidP="0007363C">
    <w:pPr>
      <w:pStyle w:val="Header"/>
      <w:tabs>
        <w:tab w:val="clear" w:pos="4513"/>
        <w:tab w:val="clear" w:pos="9026"/>
        <w:tab w:val="left" w:pos="10612"/>
      </w:tabs>
    </w:pPr>
    <w:r w:rsidRPr="00DF7E52">
      <w:rPr>
        <w:rFonts w:ascii="Arial" w:hAnsi="Arial" w:cs="Arial"/>
        <w:noProof/>
        <w:color w:val="000000" w:themeColor="text1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5A3BD8" wp14:editId="59B67EEC">
              <wp:simplePos x="0" y="0"/>
              <wp:positionH relativeFrom="column">
                <wp:posOffset>1226820</wp:posOffset>
              </wp:positionH>
              <wp:positionV relativeFrom="paragraph">
                <wp:posOffset>-123308</wp:posOffset>
              </wp:positionV>
              <wp:extent cx="6753225" cy="947981"/>
              <wp:effectExtent l="0" t="0" r="2857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9479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4CA2" w:rsidRDefault="00924CA2" w:rsidP="00924CA2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  <w:p w:rsidR="00924CA2" w:rsidRPr="008C284E" w:rsidRDefault="00924CA2" w:rsidP="00924CA2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Legislation Register </w:t>
                          </w:r>
                        </w:p>
                        <w:p w:rsidR="00924CA2" w:rsidRPr="00B42EE3" w:rsidRDefault="00924CA2" w:rsidP="00924CA2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6pt;margin-top:-9.7pt;width:531.75pt;height:7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" strokecolor="white [3212]">
              <v:textbox>
                <w:txbxContent>
                  <w:p w:rsidR="00924CA2" w:rsidRDefault="00924CA2" w:rsidP="00924CA2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  <w:p w:rsidR="00924CA2" w:rsidRPr="008C284E" w:rsidRDefault="00924CA2" w:rsidP="00924CA2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Legislation Register </w:t>
                    </w:r>
                  </w:p>
                  <w:p w:rsidR="00924CA2" w:rsidRPr="00B42EE3" w:rsidRDefault="00924CA2" w:rsidP="00924CA2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color w:val="FFFFFF" w:themeColor="background1"/>
        </w:rPr>
        <w:alias w:val="Publish Date"/>
        <w:tag w:val=""/>
        <w:id w:val="-1011444657"/>
        <w:placeholder>
          <w:docPart w:val="80F77C4DBA2F42CB8741206F5B79D3E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2-06-21T00:00:00Z">
          <w:dateFormat w:val="dd/MM/yyyy"/>
          <w:lid w:val="en-GB"/>
          <w:storeMappedDataAs w:val="dateTime"/>
          <w:calendar w:val="gregorian"/>
        </w:date>
      </w:sdtPr>
      <w:sdtEndPr/>
      <w:sdtContent>
        <w:r w:rsidR="00F74A9E">
          <w:rPr>
            <w:b/>
            <w:bCs/>
            <w:color w:val="FFFFFF" w:themeColor="background1"/>
          </w:rPr>
          <w:t>21/06/2012</w:t>
        </w:r>
      </w:sdtContent>
    </w:sdt>
    <w:r w:rsidR="00F74A9E">
      <w:rPr>
        <w:b/>
        <w:bCs/>
        <w:color w:val="FFFFFF" w:themeColor="background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13"/>
    <w:rsid w:val="000052AC"/>
    <w:rsid w:val="000525AF"/>
    <w:rsid w:val="0006076F"/>
    <w:rsid w:val="0007363C"/>
    <w:rsid w:val="00076669"/>
    <w:rsid w:val="000A1FF3"/>
    <w:rsid w:val="000B343B"/>
    <w:rsid w:val="000D2F26"/>
    <w:rsid w:val="000D5C9F"/>
    <w:rsid w:val="001068D6"/>
    <w:rsid w:val="0012331C"/>
    <w:rsid w:val="00131300"/>
    <w:rsid w:val="00165D42"/>
    <w:rsid w:val="001F0A61"/>
    <w:rsid w:val="00201075"/>
    <w:rsid w:val="0021746B"/>
    <w:rsid w:val="00287713"/>
    <w:rsid w:val="002D7456"/>
    <w:rsid w:val="00314E6E"/>
    <w:rsid w:val="0035212F"/>
    <w:rsid w:val="0037071E"/>
    <w:rsid w:val="00372196"/>
    <w:rsid w:val="003A4AF1"/>
    <w:rsid w:val="003B3A28"/>
    <w:rsid w:val="003B7799"/>
    <w:rsid w:val="003F279F"/>
    <w:rsid w:val="004169A5"/>
    <w:rsid w:val="00424314"/>
    <w:rsid w:val="004350A8"/>
    <w:rsid w:val="00437BEF"/>
    <w:rsid w:val="004B12CA"/>
    <w:rsid w:val="005005B7"/>
    <w:rsid w:val="00532D90"/>
    <w:rsid w:val="00555A2B"/>
    <w:rsid w:val="005646A3"/>
    <w:rsid w:val="00566B69"/>
    <w:rsid w:val="0057055B"/>
    <w:rsid w:val="00572E8C"/>
    <w:rsid w:val="005770B5"/>
    <w:rsid w:val="005842F2"/>
    <w:rsid w:val="00593B80"/>
    <w:rsid w:val="005C3001"/>
    <w:rsid w:val="00625833"/>
    <w:rsid w:val="006643FE"/>
    <w:rsid w:val="006711A5"/>
    <w:rsid w:val="006767DF"/>
    <w:rsid w:val="0069766C"/>
    <w:rsid w:val="006A0A18"/>
    <w:rsid w:val="006A240C"/>
    <w:rsid w:val="006B6265"/>
    <w:rsid w:val="0070146B"/>
    <w:rsid w:val="00706A4D"/>
    <w:rsid w:val="00712C65"/>
    <w:rsid w:val="007427C1"/>
    <w:rsid w:val="00751B73"/>
    <w:rsid w:val="007563B2"/>
    <w:rsid w:val="0076623B"/>
    <w:rsid w:val="007B3889"/>
    <w:rsid w:val="007D53A5"/>
    <w:rsid w:val="007D6924"/>
    <w:rsid w:val="008274D5"/>
    <w:rsid w:val="00831B5E"/>
    <w:rsid w:val="00844AD9"/>
    <w:rsid w:val="00850DD4"/>
    <w:rsid w:val="008952C1"/>
    <w:rsid w:val="008C0696"/>
    <w:rsid w:val="008C284E"/>
    <w:rsid w:val="008D6237"/>
    <w:rsid w:val="009240F5"/>
    <w:rsid w:val="00924CA2"/>
    <w:rsid w:val="00945971"/>
    <w:rsid w:val="00951265"/>
    <w:rsid w:val="009A7E4B"/>
    <w:rsid w:val="009D54A7"/>
    <w:rsid w:val="009E2448"/>
    <w:rsid w:val="00A00A2C"/>
    <w:rsid w:val="00A20E1C"/>
    <w:rsid w:val="00A2698D"/>
    <w:rsid w:val="00A55C16"/>
    <w:rsid w:val="00AB04EE"/>
    <w:rsid w:val="00B42EE3"/>
    <w:rsid w:val="00B656A3"/>
    <w:rsid w:val="00B73B5D"/>
    <w:rsid w:val="00BA4386"/>
    <w:rsid w:val="00BC15D2"/>
    <w:rsid w:val="00BE7204"/>
    <w:rsid w:val="00BE7CA3"/>
    <w:rsid w:val="00C429A8"/>
    <w:rsid w:val="00C643FF"/>
    <w:rsid w:val="00CA5A0B"/>
    <w:rsid w:val="00CB59E1"/>
    <w:rsid w:val="00D45904"/>
    <w:rsid w:val="00D52F74"/>
    <w:rsid w:val="00D56289"/>
    <w:rsid w:val="00D65EFE"/>
    <w:rsid w:val="00D71D1C"/>
    <w:rsid w:val="00D95AFE"/>
    <w:rsid w:val="00DA1671"/>
    <w:rsid w:val="00DA3ED7"/>
    <w:rsid w:val="00DC2522"/>
    <w:rsid w:val="00DF722B"/>
    <w:rsid w:val="00DF7E52"/>
    <w:rsid w:val="00E03008"/>
    <w:rsid w:val="00E07C3D"/>
    <w:rsid w:val="00E36061"/>
    <w:rsid w:val="00E964BB"/>
    <w:rsid w:val="00F1065B"/>
    <w:rsid w:val="00F369DE"/>
    <w:rsid w:val="00F57F59"/>
    <w:rsid w:val="00F6153B"/>
    <w:rsid w:val="00F74A9E"/>
    <w:rsid w:val="00FA4F9A"/>
    <w:rsid w:val="00FB4E37"/>
    <w:rsid w:val="00F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5904"/>
    <w:pPr>
      <w:keepNext/>
      <w:spacing w:after="0" w:line="240" w:lineRule="auto"/>
      <w:outlineLvl w:val="4"/>
    </w:pPr>
    <w:rPr>
      <w:rFonts w:ascii="Arial" w:eastAsia="Times New Roman" w:hAnsi="Arial" w:cs="Times New Roman"/>
      <w:b/>
      <w:i/>
      <w:i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13"/>
  </w:style>
  <w:style w:type="paragraph" w:styleId="Footer">
    <w:name w:val="footer"/>
    <w:basedOn w:val="Normal"/>
    <w:link w:val="FooterChar"/>
    <w:uiPriority w:val="99"/>
    <w:unhideWhenUsed/>
    <w:rsid w:val="0028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13"/>
  </w:style>
  <w:style w:type="table" w:styleId="TableGrid">
    <w:name w:val="Table Grid"/>
    <w:basedOn w:val="TableNormal"/>
    <w:uiPriority w:val="59"/>
    <w:rsid w:val="0028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13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28771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28771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DF7E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odyTextIndent">
    <w:name w:val="Body Text Indent"/>
    <w:basedOn w:val="Normal"/>
    <w:link w:val="BodyTextIndentChar"/>
    <w:semiHidden/>
    <w:rsid w:val="00751B73"/>
    <w:pPr>
      <w:tabs>
        <w:tab w:val="left" w:pos="709"/>
        <w:tab w:val="left" w:pos="1134"/>
        <w:tab w:val="left" w:pos="1843"/>
      </w:tabs>
      <w:spacing w:after="0" w:line="240" w:lineRule="auto"/>
      <w:ind w:left="2552" w:hanging="2552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51B73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751B7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51B73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B42EE3"/>
    <w:rPr>
      <w:color w:val="808080"/>
    </w:rPr>
  </w:style>
  <w:style w:type="paragraph" w:customStyle="1" w:styleId="Default">
    <w:name w:val="Default"/>
    <w:rsid w:val="00D56289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45904"/>
    <w:rPr>
      <w:rFonts w:ascii="Arial" w:eastAsia="Times New Roman" w:hAnsi="Arial" w:cs="Times New Roman"/>
      <w:b/>
      <w:i/>
      <w:i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615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5904"/>
    <w:pPr>
      <w:keepNext/>
      <w:spacing w:after="0" w:line="240" w:lineRule="auto"/>
      <w:outlineLvl w:val="4"/>
    </w:pPr>
    <w:rPr>
      <w:rFonts w:ascii="Arial" w:eastAsia="Times New Roman" w:hAnsi="Arial" w:cs="Times New Roman"/>
      <w:b/>
      <w:i/>
      <w:i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13"/>
  </w:style>
  <w:style w:type="paragraph" w:styleId="Footer">
    <w:name w:val="footer"/>
    <w:basedOn w:val="Normal"/>
    <w:link w:val="FooterChar"/>
    <w:uiPriority w:val="99"/>
    <w:unhideWhenUsed/>
    <w:rsid w:val="0028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13"/>
  </w:style>
  <w:style w:type="table" w:styleId="TableGrid">
    <w:name w:val="Table Grid"/>
    <w:basedOn w:val="TableNormal"/>
    <w:uiPriority w:val="59"/>
    <w:rsid w:val="0028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13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28771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28771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DF7E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odyTextIndent">
    <w:name w:val="Body Text Indent"/>
    <w:basedOn w:val="Normal"/>
    <w:link w:val="BodyTextIndentChar"/>
    <w:semiHidden/>
    <w:rsid w:val="00751B73"/>
    <w:pPr>
      <w:tabs>
        <w:tab w:val="left" w:pos="709"/>
        <w:tab w:val="left" w:pos="1134"/>
        <w:tab w:val="left" w:pos="1843"/>
      </w:tabs>
      <w:spacing w:after="0" w:line="240" w:lineRule="auto"/>
      <w:ind w:left="2552" w:hanging="2552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51B73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751B7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51B73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B42EE3"/>
    <w:rPr>
      <w:color w:val="808080"/>
    </w:rPr>
  </w:style>
  <w:style w:type="paragraph" w:customStyle="1" w:styleId="Default">
    <w:name w:val="Default"/>
    <w:rsid w:val="00D56289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45904"/>
    <w:rPr>
      <w:rFonts w:ascii="Arial" w:eastAsia="Times New Roman" w:hAnsi="Arial" w:cs="Times New Roman"/>
      <w:b/>
      <w:i/>
      <w:i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615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F77C4DBA2F42CB8741206F5B79D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7E21-90EC-42EA-9BB5-10F796C51A9B}"/>
      </w:docPartPr>
      <w:docPartBody>
        <w:p w:rsidR="0044774E" w:rsidRDefault="0044774E">
          <w:r w:rsidRPr="00292627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4E"/>
    <w:rsid w:val="001F6376"/>
    <w:rsid w:val="0044774E"/>
    <w:rsid w:val="008B05EF"/>
    <w:rsid w:val="00AA4D19"/>
    <w:rsid w:val="00BD2D1A"/>
    <w:rsid w:val="00F4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4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74E"/>
    <w:rPr>
      <w:color w:val="808080"/>
    </w:rPr>
  </w:style>
  <w:style w:type="paragraph" w:customStyle="1" w:styleId="EB418AFE30DE468FB854E892919A942D">
    <w:name w:val="EB418AFE30DE468FB854E892919A942D"/>
    <w:rsid w:val="0044774E"/>
  </w:style>
  <w:style w:type="paragraph" w:customStyle="1" w:styleId="3A2183EA70DF4B03A5566220FA62566A">
    <w:name w:val="3A2183EA70DF4B03A5566220FA62566A"/>
    <w:rsid w:val="004477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4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774E"/>
    <w:rPr>
      <w:color w:val="808080"/>
    </w:rPr>
  </w:style>
  <w:style w:type="paragraph" w:customStyle="1" w:styleId="EB418AFE30DE468FB854E892919A942D">
    <w:name w:val="EB418AFE30DE468FB854E892919A942D"/>
    <w:rsid w:val="0044774E"/>
  </w:style>
  <w:style w:type="paragraph" w:customStyle="1" w:styleId="3A2183EA70DF4B03A5566220FA62566A">
    <w:name w:val="3A2183EA70DF4B03A5566220FA62566A"/>
    <w:rsid w:val="00447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306856-3F1A-4379-AD5C-99006D38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MacCuish</dc:creator>
  <cp:lastModifiedBy>Andy MacCuish</cp:lastModifiedBy>
  <cp:revision>3</cp:revision>
  <dcterms:created xsi:type="dcterms:W3CDTF">2015-03-31T12:09:00Z</dcterms:created>
  <dcterms:modified xsi:type="dcterms:W3CDTF">2015-03-31T12:13:00Z</dcterms:modified>
</cp:coreProperties>
</file>